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CAA" w:rsidRDefault="00AC34AE">
      <w:pPr>
        <w:spacing w:line="360" w:lineRule="auto"/>
        <w:jc w:val="center"/>
        <w:rPr>
          <w:b/>
          <w:sz w:val="28"/>
          <w:szCs w:val="28"/>
          <w:u w:val="single"/>
        </w:rPr>
      </w:pPr>
      <w:bookmarkStart w:id="0" w:name="_GoBack"/>
      <w:bookmarkEnd w:id="0"/>
      <w:r>
        <w:rPr>
          <w:b/>
          <w:sz w:val="28"/>
          <w:szCs w:val="28"/>
          <w:u w:val="single"/>
        </w:rPr>
        <w:t>ANEXO “A”</w:t>
      </w:r>
    </w:p>
    <w:p w:rsidR="00503CAA" w:rsidRDefault="00503CAA">
      <w:pPr>
        <w:spacing w:line="360" w:lineRule="auto"/>
        <w:jc w:val="center"/>
        <w:rPr>
          <w:b/>
          <w:sz w:val="28"/>
          <w:szCs w:val="28"/>
          <w:u w:val="single"/>
        </w:rPr>
      </w:pPr>
    </w:p>
    <w:p w:rsidR="00503CAA" w:rsidRPr="00AC34AE" w:rsidRDefault="00AC34AE">
      <w:pPr>
        <w:spacing w:line="360" w:lineRule="auto"/>
        <w:ind w:left="993"/>
        <w:jc w:val="both"/>
        <w:rPr>
          <w:sz w:val="28"/>
          <w:szCs w:val="28"/>
          <w:lang w:val="es-ES"/>
        </w:rPr>
      </w:pPr>
      <w:r>
        <w:rPr>
          <w:b/>
          <w:i/>
          <w:sz w:val="28"/>
          <w:szCs w:val="28"/>
        </w:rPr>
        <w:t>Art. 1º.-</w:t>
      </w:r>
      <w:r>
        <w:rPr>
          <w:sz w:val="28"/>
          <w:szCs w:val="28"/>
        </w:rPr>
        <w:t xml:space="preserve"> Las Tasas inherentes al circuito Agroalimentario Municipal dispuestas por el artículo 5° de la presente Ordenanza, resultarán de aplicación por los servicios que presta el Municipio en virtud de las funciones descritas en el artículo 6° de la misma, y que</w:t>
      </w:r>
      <w:r>
        <w:rPr>
          <w:sz w:val="28"/>
          <w:szCs w:val="28"/>
        </w:rPr>
        <w:t xml:space="preserve"> a tal efecto las dependencias competentes llevarán a cabo sobre las actividades y/o bienes afectados, específicamente vinculados a la comercialización y/o distribución de sustancias alimenticias y/o sus materias primas; su depósito, exposición, elaboració</w:t>
      </w:r>
      <w:r>
        <w:rPr>
          <w:sz w:val="28"/>
          <w:szCs w:val="28"/>
        </w:rPr>
        <w:t xml:space="preserve">n, fraccionamiento, envasado, manipulación, transporte y/o expendio, así como cualquier acción o proceso conexo y/o complementario tendiente a la explotación del rubro agroalimentario. </w:t>
      </w:r>
      <w:r w:rsidRPr="00AC34AE">
        <w:rPr>
          <w:sz w:val="28"/>
          <w:szCs w:val="28"/>
          <w:lang w:val="es-ES"/>
        </w:rPr>
        <w:t>Todas las acciones desplegadas por el Municipio al respecto se encuentr</w:t>
      </w:r>
      <w:r w:rsidRPr="00AC34AE">
        <w:rPr>
          <w:sz w:val="28"/>
          <w:szCs w:val="28"/>
          <w:lang w:val="es-ES"/>
        </w:rPr>
        <w:t xml:space="preserve">an destinadas a preservar la salud de la comunidad. </w:t>
      </w:r>
    </w:p>
    <w:p w:rsidR="00503CAA" w:rsidRDefault="00AC34AE">
      <w:pPr>
        <w:spacing w:line="360" w:lineRule="auto"/>
        <w:ind w:left="993"/>
        <w:jc w:val="both"/>
        <w:rPr>
          <w:sz w:val="28"/>
          <w:szCs w:val="28"/>
        </w:rPr>
      </w:pPr>
      <w:r>
        <w:rPr>
          <w:b/>
          <w:i/>
          <w:sz w:val="28"/>
          <w:szCs w:val="28"/>
        </w:rPr>
        <w:t>Art. 2º.-</w:t>
      </w:r>
      <w:r>
        <w:rPr>
          <w:sz w:val="28"/>
          <w:szCs w:val="28"/>
        </w:rPr>
        <w:t xml:space="preserve"> Serán sujetos pasivos del tributo referido en el artículo precedente, todas aquellas personas humanas, jurídicas o que bajo cualquier denominación desarrollen en el ámbito de la Municipalidad d</w:t>
      </w:r>
      <w:r>
        <w:rPr>
          <w:sz w:val="28"/>
          <w:szCs w:val="28"/>
        </w:rPr>
        <w:t>e Venado Tuerto cualquiera de las actividades indicadas en el artículo precedente, y/o dispongan de bienes destinados a tal fin.</w:t>
      </w:r>
    </w:p>
    <w:p w:rsidR="00503CAA" w:rsidRDefault="00AC34AE">
      <w:pPr>
        <w:spacing w:line="360" w:lineRule="auto"/>
        <w:ind w:left="993"/>
        <w:jc w:val="both"/>
        <w:rPr>
          <w:sz w:val="28"/>
          <w:szCs w:val="28"/>
        </w:rPr>
      </w:pPr>
      <w:r>
        <w:rPr>
          <w:b/>
          <w:i/>
          <w:sz w:val="28"/>
          <w:szCs w:val="28"/>
        </w:rPr>
        <w:t>Art. 3º.-</w:t>
      </w:r>
      <w:r>
        <w:rPr>
          <w:sz w:val="28"/>
          <w:szCs w:val="28"/>
        </w:rPr>
        <w:t xml:space="preserve"> Las respectivas tasas, se percibirán bajo las formas, modalidades y oportunidad dispuestas a continuación, de conform</w:t>
      </w:r>
      <w:r>
        <w:rPr>
          <w:sz w:val="28"/>
          <w:szCs w:val="28"/>
        </w:rPr>
        <w:t>idad con los siguientes conceptos, escalas e importes:</w:t>
      </w:r>
    </w:p>
    <w:p w:rsidR="00503CAA" w:rsidRDefault="00503CAA">
      <w:pPr>
        <w:spacing w:line="360" w:lineRule="auto"/>
        <w:ind w:left="993"/>
        <w:jc w:val="both"/>
        <w:rPr>
          <w:sz w:val="28"/>
          <w:szCs w:val="28"/>
        </w:rPr>
      </w:pPr>
    </w:p>
    <w:p w:rsidR="00503CAA" w:rsidRDefault="00AC34AE">
      <w:pPr>
        <w:numPr>
          <w:ilvl w:val="0"/>
          <w:numId w:val="1"/>
        </w:numPr>
        <w:spacing w:line="360" w:lineRule="auto"/>
        <w:ind w:left="284"/>
        <w:jc w:val="both"/>
        <w:rPr>
          <w:sz w:val="28"/>
          <w:szCs w:val="28"/>
          <w:u w:val="single"/>
        </w:rPr>
      </w:pPr>
      <w:r>
        <w:rPr>
          <w:sz w:val="28"/>
          <w:szCs w:val="28"/>
          <w:u w:val="single"/>
        </w:rPr>
        <w:t>Inspección:</w:t>
      </w:r>
    </w:p>
    <w:p w:rsidR="00503CAA" w:rsidRDefault="00AC34AE">
      <w:pPr>
        <w:spacing w:line="360" w:lineRule="auto"/>
        <w:jc w:val="both"/>
        <w:rPr>
          <w:color w:val="FF0000"/>
          <w:sz w:val="28"/>
          <w:szCs w:val="28"/>
        </w:rPr>
      </w:pPr>
      <w:r>
        <w:rPr>
          <w:sz w:val="28"/>
          <w:szCs w:val="28"/>
        </w:rPr>
        <w:t>Se fija la Tasa Agroalimentaria Local de Inspección la cual se percibirá en cuatro cuotas trimestrales,</w:t>
      </w:r>
      <w:r>
        <w:rPr>
          <w:color w:val="FF0000"/>
          <w:sz w:val="28"/>
          <w:szCs w:val="28"/>
        </w:rPr>
        <w:t xml:space="preserve"> </w:t>
      </w:r>
      <w:r>
        <w:rPr>
          <w:sz w:val="28"/>
          <w:szCs w:val="28"/>
          <w:u w:val="single"/>
        </w:rPr>
        <w:t xml:space="preserve">debiendo abonarse la primera cuota a partir </w:t>
      </w:r>
      <w:r>
        <w:rPr>
          <w:sz w:val="28"/>
          <w:szCs w:val="28"/>
          <w:u w:val="single"/>
        </w:rPr>
        <w:lastRenderedPageBreak/>
        <w:t>del mes de marzo del año 2023 inclusive;</w:t>
      </w:r>
      <w:r>
        <w:rPr>
          <w:sz w:val="28"/>
          <w:szCs w:val="28"/>
        </w:rPr>
        <w:t xml:space="preserve"> hasta las fechas de vencimiento que al efecto se establezcan para el Derecho de Registro e Inspección en los meses de marzo, junio, septiembre y diciembre de cada año y bajo las formalidades y modalidades que establezca el Departamento Ejecutivo Municipal</w:t>
      </w:r>
      <w:r>
        <w:rPr>
          <w:sz w:val="28"/>
          <w:szCs w:val="28"/>
        </w:rPr>
        <w:t xml:space="preserve">, y según la siguiente escala: </w:t>
      </w:r>
    </w:p>
    <w:p w:rsidR="00503CAA" w:rsidRDefault="00AC34AE">
      <w:pPr>
        <w:spacing w:line="360" w:lineRule="auto"/>
        <w:jc w:val="both"/>
        <w:rPr>
          <w:sz w:val="28"/>
          <w:szCs w:val="28"/>
          <w:u w:val="single"/>
        </w:rPr>
      </w:pPr>
      <w:r>
        <w:rPr>
          <w:sz w:val="28"/>
          <w:szCs w:val="28"/>
        </w:rPr>
        <w:t xml:space="preserve">a.1.) </w:t>
      </w:r>
      <w:r>
        <w:rPr>
          <w:sz w:val="28"/>
          <w:szCs w:val="28"/>
          <w:u w:val="single"/>
        </w:rPr>
        <w:t>Comercio Minorista del Rubro Agroalimentario.</w:t>
      </w:r>
    </w:p>
    <w:p w:rsidR="00503CAA" w:rsidRDefault="00AC34AE">
      <w:pPr>
        <w:spacing w:line="360" w:lineRule="auto"/>
        <w:jc w:val="both"/>
        <w:rPr>
          <w:sz w:val="28"/>
          <w:szCs w:val="28"/>
        </w:rPr>
      </w:pPr>
      <w:r>
        <w:rPr>
          <w:sz w:val="28"/>
          <w:szCs w:val="28"/>
        </w:rPr>
        <w:t xml:space="preserve">a.1.1. Micro superficie; hasta 50 m2 inclusive. abonará 30 UTM por trimestre. </w:t>
      </w:r>
    </w:p>
    <w:p w:rsidR="00503CAA" w:rsidRDefault="00AC34AE">
      <w:pPr>
        <w:spacing w:line="360" w:lineRule="auto"/>
        <w:jc w:val="both"/>
        <w:rPr>
          <w:sz w:val="28"/>
          <w:szCs w:val="28"/>
        </w:rPr>
      </w:pPr>
      <w:r>
        <w:rPr>
          <w:sz w:val="28"/>
          <w:szCs w:val="28"/>
        </w:rPr>
        <w:t>a.1.2. Pequeña superficie; más de 50 m2 hasta 200 m2. inclusive abonará 75 UTM por trimestre.</w:t>
      </w:r>
    </w:p>
    <w:p w:rsidR="00503CAA" w:rsidRDefault="00AC34AE">
      <w:pPr>
        <w:spacing w:line="360" w:lineRule="auto"/>
        <w:jc w:val="both"/>
        <w:rPr>
          <w:sz w:val="28"/>
          <w:szCs w:val="28"/>
        </w:rPr>
      </w:pPr>
      <w:r>
        <w:rPr>
          <w:sz w:val="28"/>
          <w:szCs w:val="28"/>
        </w:rPr>
        <w:t>a.1.3. Mediana superficie; de más de 200 m2 a 350 m2 inclusive, abonará 125 UTM por trimestre.</w:t>
      </w:r>
    </w:p>
    <w:p w:rsidR="00503CAA" w:rsidRDefault="00AC34AE">
      <w:pPr>
        <w:spacing w:line="360" w:lineRule="auto"/>
        <w:jc w:val="both"/>
        <w:rPr>
          <w:sz w:val="28"/>
          <w:szCs w:val="28"/>
        </w:rPr>
      </w:pPr>
      <w:r>
        <w:rPr>
          <w:sz w:val="28"/>
          <w:szCs w:val="28"/>
        </w:rPr>
        <w:t>a.1.4. Gran Superficie; mayor a 350 m2. abonará 250 UTM por trimestre.</w:t>
      </w:r>
    </w:p>
    <w:p w:rsidR="00503CAA" w:rsidRDefault="00AC34AE">
      <w:pPr>
        <w:spacing w:line="360" w:lineRule="auto"/>
        <w:jc w:val="both"/>
        <w:rPr>
          <w:sz w:val="28"/>
          <w:szCs w:val="28"/>
        </w:rPr>
      </w:pPr>
      <w:r>
        <w:rPr>
          <w:sz w:val="28"/>
          <w:szCs w:val="28"/>
        </w:rPr>
        <w:t>Si en alguna de las categorías establecidas precedentemente (1.1. al 1.4.) el lugar utili</w:t>
      </w:r>
      <w:r>
        <w:rPr>
          <w:sz w:val="28"/>
          <w:szCs w:val="28"/>
        </w:rPr>
        <w:t xml:space="preserve">zado como depósito de mercaderías del comercio respectivo superase en más de un 50% por ciento el metraje cuadrado habilitado como superficie comercial, se le adicionará un extra de 0,40 UTM por cada m2 o fracción excedente. </w:t>
      </w:r>
    </w:p>
    <w:p w:rsidR="00503CAA" w:rsidRDefault="00AC34AE">
      <w:pPr>
        <w:tabs>
          <w:tab w:val="center" w:pos="4252"/>
        </w:tabs>
        <w:spacing w:line="360" w:lineRule="auto"/>
        <w:jc w:val="both"/>
        <w:rPr>
          <w:b/>
          <w:sz w:val="28"/>
          <w:szCs w:val="28"/>
        </w:rPr>
      </w:pPr>
      <w:r>
        <w:rPr>
          <w:sz w:val="28"/>
          <w:szCs w:val="28"/>
        </w:rPr>
        <w:t>a.2.)</w:t>
      </w:r>
      <w:r>
        <w:rPr>
          <w:sz w:val="28"/>
          <w:szCs w:val="28"/>
          <w:u w:val="single"/>
        </w:rPr>
        <w:t>Comercio Mayorista del Ru</w:t>
      </w:r>
      <w:r>
        <w:rPr>
          <w:sz w:val="28"/>
          <w:szCs w:val="28"/>
          <w:u w:val="single"/>
        </w:rPr>
        <w:t>bro Agroalimentario.</w:t>
      </w:r>
      <w:r>
        <w:rPr>
          <w:b/>
          <w:sz w:val="28"/>
          <w:szCs w:val="28"/>
        </w:rPr>
        <w:tab/>
      </w:r>
    </w:p>
    <w:p w:rsidR="00503CAA" w:rsidRDefault="00AC34AE">
      <w:pPr>
        <w:spacing w:line="360" w:lineRule="auto"/>
        <w:jc w:val="both"/>
        <w:rPr>
          <w:sz w:val="28"/>
          <w:szCs w:val="28"/>
        </w:rPr>
      </w:pPr>
      <w:r>
        <w:rPr>
          <w:sz w:val="28"/>
          <w:szCs w:val="28"/>
        </w:rPr>
        <w:t>a.2.1. Pequeña superficie; hasta 350 m2 inclusive. abonará 200 UTM por trimestre.</w:t>
      </w:r>
    </w:p>
    <w:p w:rsidR="00503CAA" w:rsidRDefault="00AC34AE">
      <w:pPr>
        <w:spacing w:line="360" w:lineRule="auto"/>
        <w:jc w:val="both"/>
        <w:rPr>
          <w:sz w:val="28"/>
          <w:szCs w:val="28"/>
        </w:rPr>
      </w:pPr>
      <w:r>
        <w:rPr>
          <w:sz w:val="28"/>
          <w:szCs w:val="28"/>
        </w:rPr>
        <w:t>a.2.2. Mediana superficie; más de 350 m2 a 2.000 m2 inclusive. abonará 275 UTM por trimestre.</w:t>
      </w:r>
    </w:p>
    <w:p w:rsidR="00503CAA" w:rsidRDefault="00AC34AE">
      <w:pPr>
        <w:spacing w:line="360" w:lineRule="auto"/>
        <w:jc w:val="both"/>
        <w:rPr>
          <w:sz w:val="28"/>
          <w:szCs w:val="28"/>
        </w:rPr>
      </w:pPr>
      <w:r>
        <w:rPr>
          <w:sz w:val="28"/>
          <w:szCs w:val="28"/>
        </w:rPr>
        <w:t xml:space="preserve">a.2.3. Gran superficie; mayor a 2.000 m2. abonará 350 UTM </w:t>
      </w:r>
      <w:r>
        <w:rPr>
          <w:sz w:val="28"/>
          <w:szCs w:val="28"/>
        </w:rPr>
        <w:t>por trimestre.</w:t>
      </w:r>
    </w:p>
    <w:p w:rsidR="00503CAA" w:rsidRDefault="00AC34AE">
      <w:pPr>
        <w:spacing w:line="360" w:lineRule="auto"/>
        <w:jc w:val="both"/>
        <w:rPr>
          <w:b/>
          <w:sz w:val="28"/>
          <w:szCs w:val="28"/>
        </w:rPr>
      </w:pPr>
      <w:r>
        <w:rPr>
          <w:sz w:val="28"/>
          <w:szCs w:val="28"/>
        </w:rPr>
        <w:t>Si en alguna de las categorías establecidas precedentemente (2.1. al 2.3.) el lugar utilizado como depósito de mercaderías del comercio respectivo superase en más de un 50% por ciento el metraje cuadrado habilitado como superficie comercial,</w:t>
      </w:r>
      <w:r>
        <w:rPr>
          <w:sz w:val="28"/>
          <w:szCs w:val="28"/>
        </w:rPr>
        <w:t xml:space="preserve"> se le adicionará un extra de 0,40 UTM por cada m2 o fracción excedente.</w:t>
      </w:r>
    </w:p>
    <w:p w:rsidR="00503CAA" w:rsidRDefault="00503CAA">
      <w:pPr>
        <w:spacing w:line="360" w:lineRule="auto"/>
        <w:jc w:val="both"/>
        <w:rPr>
          <w:sz w:val="28"/>
          <w:szCs w:val="28"/>
        </w:rPr>
      </w:pPr>
    </w:p>
    <w:p w:rsidR="00503CAA" w:rsidRDefault="00AC34AE">
      <w:pPr>
        <w:spacing w:line="360" w:lineRule="auto"/>
        <w:jc w:val="both"/>
        <w:rPr>
          <w:sz w:val="28"/>
          <w:szCs w:val="28"/>
        </w:rPr>
      </w:pPr>
      <w:r>
        <w:rPr>
          <w:sz w:val="28"/>
          <w:szCs w:val="28"/>
        </w:rPr>
        <w:t xml:space="preserve">a.3.) </w:t>
      </w:r>
      <w:r>
        <w:rPr>
          <w:sz w:val="28"/>
          <w:szCs w:val="28"/>
          <w:u w:val="single"/>
        </w:rPr>
        <w:t>Establecimientos para venta y/o consumo de productos alimenticios elaborados.</w:t>
      </w:r>
    </w:p>
    <w:p w:rsidR="00503CAA" w:rsidRDefault="00AC34AE">
      <w:pPr>
        <w:spacing w:line="360" w:lineRule="auto"/>
        <w:jc w:val="both"/>
        <w:rPr>
          <w:sz w:val="28"/>
          <w:szCs w:val="28"/>
        </w:rPr>
      </w:pPr>
      <w:r>
        <w:rPr>
          <w:sz w:val="28"/>
          <w:szCs w:val="28"/>
        </w:rPr>
        <w:t>a.3.1. Pequeña superficie; hasta 50 m2 inclusive. abonará 30 UTM por trimestre.</w:t>
      </w:r>
    </w:p>
    <w:p w:rsidR="00503CAA" w:rsidRDefault="00AC34AE">
      <w:pPr>
        <w:spacing w:line="360" w:lineRule="auto"/>
        <w:jc w:val="both"/>
        <w:rPr>
          <w:sz w:val="28"/>
          <w:szCs w:val="28"/>
        </w:rPr>
      </w:pPr>
      <w:r>
        <w:rPr>
          <w:sz w:val="28"/>
          <w:szCs w:val="28"/>
        </w:rPr>
        <w:t>a.3.2. Mediana sup</w:t>
      </w:r>
      <w:r>
        <w:rPr>
          <w:sz w:val="28"/>
          <w:szCs w:val="28"/>
        </w:rPr>
        <w:t>erficie; más de 50 m2 a 250 m2 inclusive. abonará 75 UTM por trimestre.</w:t>
      </w:r>
    </w:p>
    <w:p w:rsidR="00503CAA" w:rsidRDefault="00AC34AE">
      <w:pPr>
        <w:spacing w:line="360" w:lineRule="auto"/>
        <w:jc w:val="both"/>
        <w:rPr>
          <w:sz w:val="28"/>
          <w:szCs w:val="28"/>
        </w:rPr>
      </w:pPr>
      <w:r>
        <w:rPr>
          <w:sz w:val="28"/>
          <w:szCs w:val="28"/>
        </w:rPr>
        <w:t>a.3.3. Gran superficie; mayor a 250 m2. abonará 125 UTM por trimestre.</w:t>
      </w:r>
    </w:p>
    <w:p w:rsidR="00503CAA" w:rsidRDefault="00AC34AE">
      <w:pPr>
        <w:spacing w:line="360" w:lineRule="auto"/>
        <w:jc w:val="both"/>
        <w:rPr>
          <w:sz w:val="28"/>
          <w:szCs w:val="28"/>
        </w:rPr>
      </w:pPr>
      <w:r>
        <w:rPr>
          <w:sz w:val="28"/>
          <w:szCs w:val="28"/>
        </w:rPr>
        <w:t>Entiéndase por productos elaborados aquellos en los que se transforme su esencia, pudiendo tratarse de una materia prima o de un producto ya procesado para la obtención de un resultado final mediante la utilización de métodos industriales o artesanales.</w:t>
      </w:r>
    </w:p>
    <w:p w:rsidR="00503CAA" w:rsidRDefault="00AC34AE">
      <w:pPr>
        <w:spacing w:line="360" w:lineRule="auto"/>
        <w:jc w:val="both"/>
        <w:rPr>
          <w:sz w:val="28"/>
          <w:szCs w:val="28"/>
        </w:rPr>
      </w:pPr>
      <w:r>
        <w:rPr>
          <w:sz w:val="28"/>
          <w:szCs w:val="28"/>
        </w:rPr>
        <w:t>En</w:t>
      </w:r>
      <w:r>
        <w:rPr>
          <w:sz w:val="28"/>
          <w:szCs w:val="28"/>
        </w:rPr>
        <w:t xml:space="preserve"> el supuesto de superposición de categorías (a.1/a.2/a.3) se tendrá por incluido al contribuyente en la categoría de la actividad predominante, es decir, la que desarrolla habitualmente y sea su fuente comercial principal.</w:t>
      </w:r>
    </w:p>
    <w:p w:rsidR="00503CAA" w:rsidRDefault="00503CAA">
      <w:pPr>
        <w:spacing w:line="360" w:lineRule="auto"/>
        <w:jc w:val="both"/>
        <w:rPr>
          <w:sz w:val="28"/>
          <w:szCs w:val="28"/>
        </w:rPr>
      </w:pPr>
    </w:p>
    <w:p w:rsidR="00503CAA" w:rsidRDefault="00AC34AE">
      <w:pPr>
        <w:spacing w:line="360" w:lineRule="auto"/>
        <w:jc w:val="both"/>
        <w:rPr>
          <w:sz w:val="28"/>
          <w:szCs w:val="28"/>
        </w:rPr>
      </w:pPr>
      <w:r>
        <w:rPr>
          <w:sz w:val="28"/>
          <w:szCs w:val="28"/>
        </w:rPr>
        <w:t>a.4.) Por la inspección sanitari</w:t>
      </w:r>
      <w:r>
        <w:rPr>
          <w:sz w:val="28"/>
          <w:szCs w:val="28"/>
        </w:rPr>
        <w:t>a, realizada por el personal del área de Seguridad Alimentaria, de distintos productos destinados a la prestación de servicios de comidas, fiestas, lunchs o similares, abonarán por evento y hasta el último día hábil previo a la realización de mismo:</w:t>
      </w:r>
    </w:p>
    <w:p w:rsidR="00503CAA" w:rsidRDefault="00AC34AE">
      <w:pPr>
        <w:spacing w:line="360" w:lineRule="auto"/>
        <w:jc w:val="both"/>
        <w:rPr>
          <w:sz w:val="28"/>
          <w:szCs w:val="28"/>
        </w:rPr>
      </w:pPr>
      <w:r>
        <w:rPr>
          <w:sz w:val="28"/>
          <w:szCs w:val="28"/>
        </w:rPr>
        <w:t xml:space="preserve"> I- ha</w:t>
      </w:r>
      <w:r>
        <w:rPr>
          <w:sz w:val="28"/>
          <w:szCs w:val="28"/>
        </w:rPr>
        <w:t>sta 50 personas inclusive 25 UTM;</w:t>
      </w:r>
    </w:p>
    <w:p w:rsidR="00503CAA" w:rsidRDefault="00AC34AE">
      <w:pPr>
        <w:spacing w:line="360" w:lineRule="auto"/>
        <w:jc w:val="both"/>
        <w:rPr>
          <w:sz w:val="28"/>
          <w:szCs w:val="28"/>
        </w:rPr>
      </w:pPr>
      <w:r>
        <w:rPr>
          <w:sz w:val="28"/>
          <w:szCs w:val="28"/>
        </w:rPr>
        <w:t xml:space="preserve"> II- más de 50 y hasta 100 personas inclusive 30 UTM;</w:t>
      </w:r>
    </w:p>
    <w:p w:rsidR="00503CAA" w:rsidRDefault="00AC34AE">
      <w:pPr>
        <w:spacing w:line="360" w:lineRule="auto"/>
        <w:jc w:val="both"/>
        <w:rPr>
          <w:sz w:val="28"/>
          <w:szCs w:val="28"/>
        </w:rPr>
      </w:pPr>
      <w:r>
        <w:rPr>
          <w:sz w:val="28"/>
          <w:szCs w:val="28"/>
        </w:rPr>
        <w:t xml:space="preserve"> III- más de 100 y hasta 200 personas inclusive 50 UTM;</w:t>
      </w:r>
    </w:p>
    <w:p w:rsidR="00503CAA" w:rsidRDefault="00AC34AE">
      <w:pPr>
        <w:spacing w:line="360" w:lineRule="auto"/>
        <w:jc w:val="both"/>
        <w:rPr>
          <w:sz w:val="28"/>
          <w:szCs w:val="28"/>
        </w:rPr>
      </w:pPr>
      <w:r>
        <w:rPr>
          <w:sz w:val="28"/>
          <w:szCs w:val="28"/>
        </w:rPr>
        <w:t xml:space="preserve"> IV- más de 200 y hasta 300 personas inclusive 70 UTM;</w:t>
      </w:r>
    </w:p>
    <w:p w:rsidR="00503CAA" w:rsidRDefault="00AC34AE">
      <w:pPr>
        <w:spacing w:line="360" w:lineRule="auto"/>
        <w:jc w:val="both"/>
        <w:rPr>
          <w:sz w:val="28"/>
          <w:szCs w:val="28"/>
        </w:rPr>
      </w:pPr>
      <w:r>
        <w:rPr>
          <w:sz w:val="28"/>
          <w:szCs w:val="28"/>
        </w:rPr>
        <w:t xml:space="preserve"> V- más de 300 y hasta 500 personas inclusive 100 UTM;</w:t>
      </w:r>
    </w:p>
    <w:p w:rsidR="00503CAA" w:rsidRDefault="00AC34AE">
      <w:pPr>
        <w:spacing w:line="360" w:lineRule="auto"/>
        <w:jc w:val="both"/>
        <w:rPr>
          <w:sz w:val="28"/>
          <w:szCs w:val="28"/>
        </w:rPr>
      </w:pPr>
      <w:r>
        <w:rPr>
          <w:sz w:val="28"/>
          <w:szCs w:val="28"/>
        </w:rPr>
        <w:t>VI- más de 500 y hasta 700 personas inclusive 120 UTM;</w:t>
      </w:r>
    </w:p>
    <w:p w:rsidR="00503CAA" w:rsidRDefault="00AC34AE">
      <w:pPr>
        <w:spacing w:line="360" w:lineRule="auto"/>
        <w:jc w:val="both"/>
        <w:rPr>
          <w:sz w:val="28"/>
          <w:szCs w:val="28"/>
        </w:rPr>
      </w:pPr>
      <w:r>
        <w:rPr>
          <w:sz w:val="28"/>
          <w:szCs w:val="28"/>
        </w:rPr>
        <w:t>VII- más de 700 personas 200 UTM.</w:t>
      </w:r>
    </w:p>
    <w:p w:rsidR="00503CAA" w:rsidRDefault="00AC34AE">
      <w:pPr>
        <w:spacing w:line="360" w:lineRule="auto"/>
        <w:jc w:val="both"/>
        <w:rPr>
          <w:sz w:val="28"/>
          <w:szCs w:val="28"/>
        </w:rPr>
      </w:pPr>
      <w:r>
        <w:rPr>
          <w:sz w:val="28"/>
          <w:szCs w:val="28"/>
        </w:rPr>
        <w:t xml:space="preserve">Serán responsables solidarios del pago de la Tasa de Inspección de Alimentos el propietario del salón donde se realiza el evento o servicio y/o </w:t>
      </w:r>
      <w:r>
        <w:rPr>
          <w:sz w:val="28"/>
          <w:szCs w:val="28"/>
        </w:rPr>
        <w:lastRenderedPageBreak/>
        <w:t>quien haya contratado e</w:t>
      </w:r>
      <w:r>
        <w:rPr>
          <w:sz w:val="28"/>
          <w:szCs w:val="28"/>
        </w:rPr>
        <w:t>l mismo, con las obligaciones y responsabilidades establecidas en el Código Tributario Municipal, artículo nº 12, 14, 15, 44, 45 y 47.</w:t>
      </w:r>
    </w:p>
    <w:p w:rsidR="00503CAA" w:rsidRDefault="00AC34AE">
      <w:pPr>
        <w:spacing w:line="360" w:lineRule="auto"/>
        <w:jc w:val="both"/>
        <w:rPr>
          <w:sz w:val="28"/>
          <w:szCs w:val="28"/>
        </w:rPr>
      </w:pPr>
      <w:r>
        <w:rPr>
          <w:sz w:val="28"/>
          <w:szCs w:val="28"/>
        </w:rPr>
        <w:t>La presente tasa abarca exclusivamente a las actividades referidas precedentemente, siempre y cuando se desarrollen dentr</w:t>
      </w:r>
      <w:r>
        <w:rPr>
          <w:sz w:val="28"/>
          <w:szCs w:val="28"/>
        </w:rPr>
        <w:t>o de establecimientos que se encuentren categorizados bajo el rubro salon de eventos.</w:t>
      </w:r>
    </w:p>
    <w:p w:rsidR="00503CAA" w:rsidRDefault="00AC34AE">
      <w:pPr>
        <w:numPr>
          <w:ilvl w:val="0"/>
          <w:numId w:val="2"/>
        </w:numPr>
        <w:spacing w:line="360" w:lineRule="auto"/>
        <w:jc w:val="both"/>
        <w:rPr>
          <w:b/>
          <w:sz w:val="28"/>
          <w:szCs w:val="28"/>
        </w:rPr>
      </w:pPr>
      <w:r>
        <w:rPr>
          <w:b/>
          <w:sz w:val="28"/>
          <w:szCs w:val="28"/>
        </w:rPr>
        <w:t>Exención de pago en beneficio de buenos contribuyentes.</w:t>
      </w:r>
    </w:p>
    <w:p w:rsidR="00503CAA" w:rsidRDefault="00AC34AE">
      <w:pPr>
        <w:spacing w:line="360" w:lineRule="auto"/>
        <w:jc w:val="both"/>
        <w:rPr>
          <w:sz w:val="28"/>
          <w:szCs w:val="28"/>
          <w:u w:val="single"/>
        </w:rPr>
      </w:pPr>
      <w:r>
        <w:rPr>
          <w:sz w:val="28"/>
          <w:szCs w:val="28"/>
          <w:u w:val="single"/>
        </w:rPr>
        <w:t>Los establecimientos comprendidos en las categorías mencionadas precedentemente, (a.1, a.2, a.3. y a.4), que deten</w:t>
      </w:r>
      <w:r>
        <w:rPr>
          <w:sz w:val="28"/>
          <w:szCs w:val="28"/>
          <w:u w:val="single"/>
        </w:rPr>
        <w:t>ten habilitación comercial en vigencia y se encontraran al día tanto en la presentación de las declaraciones juradas correspondientes, como en el pago del DRI, sus complementos y adicionales bajo cualquiera de las modalidades de cancelación, gozarán del be</w:t>
      </w:r>
      <w:r>
        <w:rPr>
          <w:sz w:val="28"/>
          <w:szCs w:val="28"/>
          <w:u w:val="single"/>
        </w:rPr>
        <w:t>neficio de exención de pago de la tasa agroalimentaria de inspección.</w:t>
      </w:r>
    </w:p>
    <w:p w:rsidR="00503CAA" w:rsidRDefault="00AC34AE">
      <w:pPr>
        <w:spacing w:line="360" w:lineRule="auto"/>
        <w:jc w:val="both"/>
        <w:rPr>
          <w:sz w:val="28"/>
          <w:szCs w:val="28"/>
          <w:u w:val="single"/>
        </w:rPr>
      </w:pPr>
      <w:r>
        <w:rPr>
          <w:sz w:val="28"/>
          <w:szCs w:val="28"/>
          <w:u w:val="single"/>
        </w:rPr>
        <w:t xml:space="preserve"> </w:t>
      </w:r>
    </w:p>
    <w:p w:rsidR="00503CAA" w:rsidRDefault="00AC34AE">
      <w:pPr>
        <w:spacing w:line="360" w:lineRule="auto"/>
        <w:jc w:val="both"/>
        <w:rPr>
          <w:sz w:val="28"/>
          <w:szCs w:val="28"/>
        </w:rPr>
      </w:pPr>
      <w:r>
        <w:rPr>
          <w:sz w:val="28"/>
          <w:szCs w:val="28"/>
        </w:rPr>
        <w:t xml:space="preserve">b) </w:t>
      </w:r>
      <w:r>
        <w:rPr>
          <w:sz w:val="28"/>
          <w:szCs w:val="28"/>
          <w:u w:val="single"/>
        </w:rPr>
        <w:t>Habilitación /Registración</w:t>
      </w:r>
    </w:p>
    <w:p w:rsidR="00503CAA" w:rsidRDefault="00AC34AE">
      <w:pPr>
        <w:spacing w:line="360" w:lineRule="auto"/>
        <w:jc w:val="both"/>
        <w:rPr>
          <w:sz w:val="28"/>
          <w:szCs w:val="28"/>
        </w:rPr>
      </w:pPr>
      <w:r>
        <w:rPr>
          <w:sz w:val="28"/>
          <w:szCs w:val="28"/>
        </w:rPr>
        <w:t>b.1) Para los vehículos de reparto (U.R.A.), cualquiera sea su fuente motriz, que se dediquen a la distribución y/o venta de productos alimenticios dentro</w:t>
      </w:r>
      <w:r>
        <w:rPr>
          <w:sz w:val="28"/>
          <w:szCs w:val="28"/>
        </w:rPr>
        <w:t xml:space="preserve"> del ejido urbano municipal, abonarán la tasa de habilitación correspondiente, cuyo monto deberá ingresarse hasta el último día hábil de febrero de cada año, estableciéndose los mismos según la siguiente categorización:</w:t>
      </w:r>
    </w:p>
    <w:p w:rsidR="00503CAA" w:rsidRDefault="00AC34AE">
      <w:pPr>
        <w:spacing w:line="360" w:lineRule="auto"/>
        <w:jc w:val="both"/>
        <w:rPr>
          <w:sz w:val="28"/>
          <w:szCs w:val="28"/>
        </w:rPr>
      </w:pPr>
      <w:r>
        <w:rPr>
          <w:sz w:val="28"/>
          <w:szCs w:val="28"/>
        </w:rPr>
        <w:t>b.1.1. 30 UTM anuales, para aquellos</w:t>
      </w:r>
      <w:r>
        <w:rPr>
          <w:sz w:val="28"/>
          <w:szCs w:val="28"/>
        </w:rPr>
        <w:t xml:space="preserve"> vehículos cuya capacidad de carga de alimentos sea de hasta un metro cúbico (1m3).</w:t>
      </w:r>
    </w:p>
    <w:p w:rsidR="00503CAA" w:rsidRDefault="00AC34AE">
      <w:pPr>
        <w:spacing w:line="360" w:lineRule="auto"/>
        <w:jc w:val="both"/>
        <w:rPr>
          <w:sz w:val="28"/>
          <w:szCs w:val="28"/>
        </w:rPr>
      </w:pPr>
      <w:r>
        <w:rPr>
          <w:sz w:val="28"/>
          <w:szCs w:val="28"/>
        </w:rPr>
        <w:t>b.1.2. 35 UTM anuales, para aquellos vehículos cuya capacidad de carga alimentos sea superior a un metro cúbico (más de 1 m3).</w:t>
      </w:r>
    </w:p>
    <w:p w:rsidR="00503CAA" w:rsidRDefault="00AC34AE">
      <w:pPr>
        <w:spacing w:line="360" w:lineRule="auto"/>
        <w:jc w:val="both"/>
        <w:rPr>
          <w:sz w:val="28"/>
          <w:szCs w:val="28"/>
        </w:rPr>
      </w:pPr>
      <w:r>
        <w:rPr>
          <w:sz w:val="28"/>
          <w:szCs w:val="28"/>
        </w:rPr>
        <w:t>Las obleas de identificación de vehículos que</w:t>
      </w:r>
      <w:r>
        <w:rPr>
          <w:sz w:val="28"/>
          <w:szCs w:val="28"/>
        </w:rPr>
        <w:t xml:space="preserve"> se entregarán en los supuestos precedentes (b.1.1. y b.1.2.) - una vez realizada la </w:t>
      </w:r>
      <w:r>
        <w:rPr>
          <w:sz w:val="28"/>
          <w:szCs w:val="28"/>
        </w:rPr>
        <w:lastRenderedPageBreak/>
        <w:t>correspondiente verificación higiénico/sanitaria del vehículo respectivo -, tendrán un valor de 5 UTM.</w:t>
      </w:r>
    </w:p>
    <w:p w:rsidR="00503CAA" w:rsidRDefault="00AC34AE">
      <w:pPr>
        <w:spacing w:line="360" w:lineRule="auto"/>
        <w:jc w:val="both"/>
        <w:rPr>
          <w:b/>
          <w:sz w:val="28"/>
          <w:szCs w:val="28"/>
        </w:rPr>
      </w:pPr>
      <w:r>
        <w:rPr>
          <w:sz w:val="28"/>
          <w:szCs w:val="28"/>
        </w:rPr>
        <w:t>Los vehículos que posean UTA quedarán dispensados de realizar la hab</w:t>
      </w:r>
      <w:r>
        <w:rPr>
          <w:sz w:val="28"/>
          <w:szCs w:val="28"/>
        </w:rPr>
        <w:t>ilitación local.</w:t>
      </w:r>
    </w:p>
    <w:p w:rsidR="00503CAA" w:rsidRDefault="00503CAA">
      <w:pPr>
        <w:spacing w:line="360" w:lineRule="auto"/>
        <w:jc w:val="both"/>
        <w:rPr>
          <w:sz w:val="28"/>
          <w:szCs w:val="28"/>
        </w:rPr>
      </w:pPr>
    </w:p>
    <w:p w:rsidR="00503CAA" w:rsidRDefault="00AC34AE">
      <w:pPr>
        <w:spacing w:line="360" w:lineRule="auto"/>
        <w:jc w:val="both"/>
        <w:rPr>
          <w:sz w:val="28"/>
          <w:szCs w:val="28"/>
        </w:rPr>
      </w:pPr>
      <w:r>
        <w:rPr>
          <w:sz w:val="28"/>
          <w:szCs w:val="28"/>
        </w:rPr>
        <w:t>b.2.) Se fija la Tasa de Inscripción y Rotulación de Productos de Venta Local los cuales se incluirán en el Registro Municipal de Productos Alimentarios (R.M.P.A.) bajo el siguiente criterio:</w:t>
      </w:r>
    </w:p>
    <w:p w:rsidR="00503CAA" w:rsidRDefault="00AC34AE">
      <w:pPr>
        <w:spacing w:line="360" w:lineRule="auto"/>
        <w:jc w:val="both"/>
        <w:rPr>
          <w:sz w:val="28"/>
          <w:szCs w:val="28"/>
        </w:rPr>
      </w:pPr>
      <w:r>
        <w:rPr>
          <w:sz w:val="28"/>
          <w:szCs w:val="28"/>
        </w:rPr>
        <w:t>b.2.1. Para la inscripción y rotulación de cad</w:t>
      </w:r>
      <w:r>
        <w:rPr>
          <w:sz w:val="28"/>
          <w:szCs w:val="28"/>
        </w:rPr>
        <w:t>a producto elaborado y destinado al consumo local, el interesado deberá abonar 15 UTM en forma adelantada al inscribir el producto. La validez de la misma será de cuatro años a partir de la inscripción, la cual se materializará una vez cumplimentados los r</w:t>
      </w:r>
      <w:r>
        <w:rPr>
          <w:sz w:val="28"/>
          <w:szCs w:val="28"/>
        </w:rPr>
        <w:t>equerimientos exigidos por la autoridad de aplicación.</w:t>
      </w:r>
    </w:p>
    <w:p w:rsidR="00503CAA" w:rsidRDefault="00AC34AE">
      <w:pPr>
        <w:spacing w:line="360" w:lineRule="auto"/>
        <w:jc w:val="both"/>
        <w:rPr>
          <w:sz w:val="28"/>
          <w:szCs w:val="28"/>
        </w:rPr>
      </w:pPr>
      <w:r>
        <w:rPr>
          <w:sz w:val="28"/>
          <w:szCs w:val="28"/>
        </w:rPr>
        <w:t>b.3.) Para la inscripción en el Registro de Emprendedores Productivos Locales Alimenticios (R.E.P.L.A.), el Departamento Ejecutivo Municipal categorizará la actividad de acuerdo al rubro y al volumen d</w:t>
      </w:r>
      <w:r>
        <w:rPr>
          <w:sz w:val="28"/>
          <w:szCs w:val="28"/>
        </w:rPr>
        <w:t>e producción respectivo. Dicha tasa se abonará anualmente, hasta el último día hábil del mes de diciembre de cada año; y en relación a la categorización referida. Todos los emprendedores tendrán una bonificación del 100% de la tasa de inscripción el primer</w:t>
      </w:r>
      <w:r>
        <w:rPr>
          <w:sz w:val="28"/>
          <w:szCs w:val="28"/>
        </w:rPr>
        <w:t xml:space="preserve"> año de actividad.</w:t>
      </w:r>
    </w:p>
    <w:p w:rsidR="00503CAA" w:rsidRDefault="00503CAA">
      <w:pPr>
        <w:spacing w:line="360" w:lineRule="auto"/>
        <w:jc w:val="both"/>
        <w:rPr>
          <w:b/>
          <w:sz w:val="28"/>
          <w:szCs w:val="28"/>
        </w:rPr>
      </w:pPr>
    </w:p>
    <w:p w:rsidR="00503CAA" w:rsidRDefault="00AC34AE">
      <w:pPr>
        <w:spacing w:line="360" w:lineRule="auto"/>
        <w:jc w:val="both"/>
        <w:rPr>
          <w:sz w:val="28"/>
          <w:szCs w:val="28"/>
        </w:rPr>
      </w:pPr>
      <w:r>
        <w:rPr>
          <w:sz w:val="28"/>
          <w:szCs w:val="28"/>
        </w:rPr>
        <w:t xml:space="preserve">c) </w:t>
      </w:r>
      <w:r>
        <w:rPr>
          <w:sz w:val="28"/>
          <w:szCs w:val="28"/>
          <w:u w:val="single"/>
        </w:rPr>
        <w:t>Verificación de los productos introducidos a la ciudad:</w:t>
      </w:r>
    </w:p>
    <w:p w:rsidR="00503CAA" w:rsidRDefault="00AC34AE">
      <w:pPr>
        <w:spacing w:line="360" w:lineRule="auto"/>
        <w:jc w:val="both"/>
        <w:rPr>
          <w:sz w:val="28"/>
          <w:szCs w:val="28"/>
        </w:rPr>
      </w:pPr>
      <w:r>
        <w:rPr>
          <w:sz w:val="28"/>
          <w:szCs w:val="28"/>
        </w:rPr>
        <w:t>c.1.) Se establece la tasa de verificación de productos alimenticios que ingresen al ejido urbano de la ciudad de Venado Tuerto, la cual se abonará en ocasión de la verificación que se realice en la Cabina Sanitaria al ingresar a la ciudad en función de la</w:t>
      </w:r>
      <w:r>
        <w:rPr>
          <w:sz w:val="28"/>
          <w:szCs w:val="28"/>
        </w:rPr>
        <w:t xml:space="preserve"> siguiente categorización: </w:t>
      </w:r>
    </w:p>
    <w:p w:rsidR="00503CAA" w:rsidRDefault="00503CAA">
      <w:pPr>
        <w:spacing w:line="360" w:lineRule="auto"/>
        <w:jc w:val="both"/>
        <w:rPr>
          <w:sz w:val="28"/>
          <w:szCs w:val="28"/>
        </w:rPr>
      </w:pPr>
    </w:p>
    <w:p w:rsidR="00503CAA" w:rsidRDefault="00AC34AE">
      <w:pPr>
        <w:spacing w:line="360" w:lineRule="auto"/>
        <w:jc w:val="both"/>
        <w:rPr>
          <w:sz w:val="28"/>
          <w:szCs w:val="28"/>
        </w:rPr>
      </w:pPr>
      <w:r>
        <w:rPr>
          <w:sz w:val="28"/>
          <w:szCs w:val="28"/>
        </w:rPr>
        <w:t xml:space="preserve">c.1.1. </w:t>
      </w:r>
      <w:r>
        <w:rPr>
          <w:sz w:val="28"/>
          <w:szCs w:val="28"/>
          <w:u w:val="single"/>
        </w:rPr>
        <w:t>1ra Categoría</w:t>
      </w:r>
      <w:r>
        <w:rPr>
          <w:sz w:val="28"/>
          <w:szCs w:val="28"/>
        </w:rPr>
        <w:t>:</w:t>
      </w:r>
    </w:p>
    <w:p w:rsidR="00503CAA" w:rsidRDefault="00AC34AE">
      <w:pPr>
        <w:spacing w:line="360" w:lineRule="auto"/>
        <w:jc w:val="both"/>
        <w:rPr>
          <w:sz w:val="28"/>
          <w:szCs w:val="28"/>
        </w:rPr>
      </w:pPr>
      <w:r>
        <w:rPr>
          <w:sz w:val="28"/>
          <w:szCs w:val="28"/>
        </w:rPr>
        <w:lastRenderedPageBreak/>
        <w:t>I) cárnicos de origen bovino, ovino o caprino y sus derivados;</w:t>
      </w:r>
    </w:p>
    <w:p w:rsidR="00503CAA" w:rsidRDefault="00AC34AE">
      <w:pPr>
        <w:spacing w:line="360" w:lineRule="auto"/>
        <w:jc w:val="both"/>
        <w:rPr>
          <w:sz w:val="28"/>
          <w:szCs w:val="28"/>
        </w:rPr>
      </w:pPr>
      <w:r>
        <w:rPr>
          <w:sz w:val="28"/>
          <w:szCs w:val="28"/>
        </w:rPr>
        <w:t>II) pescados, mariscos y sus derivados;</w:t>
      </w:r>
    </w:p>
    <w:p w:rsidR="00503CAA" w:rsidRDefault="00AC34AE">
      <w:pPr>
        <w:spacing w:line="360" w:lineRule="auto"/>
        <w:jc w:val="both"/>
        <w:rPr>
          <w:sz w:val="28"/>
          <w:szCs w:val="28"/>
        </w:rPr>
      </w:pPr>
      <w:r>
        <w:rPr>
          <w:sz w:val="28"/>
          <w:szCs w:val="28"/>
        </w:rPr>
        <w:t>III) derivados lácteos;</w:t>
      </w:r>
    </w:p>
    <w:p w:rsidR="00503CAA" w:rsidRDefault="00AC34AE">
      <w:pPr>
        <w:spacing w:line="360" w:lineRule="auto"/>
        <w:jc w:val="both"/>
        <w:rPr>
          <w:sz w:val="28"/>
          <w:szCs w:val="28"/>
        </w:rPr>
      </w:pPr>
      <w:r>
        <w:rPr>
          <w:sz w:val="28"/>
          <w:szCs w:val="28"/>
        </w:rPr>
        <w:t>IV) helados y afines;</w:t>
      </w:r>
    </w:p>
    <w:p w:rsidR="00503CAA" w:rsidRDefault="00AC34AE">
      <w:pPr>
        <w:spacing w:line="360" w:lineRule="auto"/>
        <w:jc w:val="both"/>
        <w:rPr>
          <w:sz w:val="28"/>
          <w:szCs w:val="28"/>
        </w:rPr>
      </w:pPr>
      <w:r>
        <w:rPr>
          <w:sz w:val="28"/>
          <w:szCs w:val="28"/>
        </w:rPr>
        <w:t>V) productos congelados y supercongelados;</w:t>
      </w:r>
    </w:p>
    <w:p w:rsidR="00503CAA" w:rsidRDefault="00AC34AE">
      <w:pPr>
        <w:spacing w:line="360" w:lineRule="auto"/>
        <w:jc w:val="both"/>
        <w:rPr>
          <w:sz w:val="28"/>
          <w:szCs w:val="28"/>
        </w:rPr>
      </w:pPr>
      <w:r>
        <w:rPr>
          <w:sz w:val="28"/>
          <w:szCs w:val="28"/>
        </w:rPr>
        <w:t>VI) productos</w:t>
      </w:r>
      <w:r>
        <w:rPr>
          <w:sz w:val="28"/>
          <w:szCs w:val="28"/>
        </w:rPr>
        <w:t xml:space="preserve"> provenientes de la caza;</w:t>
      </w:r>
    </w:p>
    <w:p w:rsidR="00503CAA" w:rsidRDefault="00AC34AE">
      <w:pPr>
        <w:spacing w:line="360" w:lineRule="auto"/>
        <w:jc w:val="both"/>
        <w:rPr>
          <w:sz w:val="28"/>
          <w:szCs w:val="28"/>
        </w:rPr>
      </w:pPr>
      <w:r>
        <w:rPr>
          <w:sz w:val="28"/>
          <w:szCs w:val="28"/>
        </w:rPr>
        <w:t>VII) productos de copetín y afines.</w:t>
      </w:r>
    </w:p>
    <w:tbl>
      <w:tblPr>
        <w:tblStyle w:val="a"/>
        <w:tblW w:w="3397" w:type="dxa"/>
        <w:tblInd w:w="0" w:type="dxa"/>
        <w:tblLayout w:type="fixed"/>
        <w:tblLook w:val="0400" w:firstRow="0" w:lastRow="0" w:firstColumn="0" w:lastColumn="0" w:noHBand="0" w:noVBand="1"/>
      </w:tblPr>
      <w:tblGrid>
        <w:gridCol w:w="2650"/>
        <w:gridCol w:w="747"/>
      </w:tblGrid>
      <w:tr w:rsidR="00503CAA">
        <w:trPr>
          <w:trHeight w:val="290"/>
        </w:trPr>
        <w:tc>
          <w:tcPr>
            <w:tcW w:w="2650"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503CAA" w:rsidRDefault="00AC34AE">
            <w:pPr>
              <w:spacing w:line="240" w:lineRule="auto"/>
              <w:jc w:val="center"/>
              <w:rPr>
                <w:b/>
                <w:sz w:val="28"/>
                <w:szCs w:val="28"/>
              </w:rPr>
            </w:pPr>
            <w:r>
              <w:rPr>
                <w:b/>
                <w:sz w:val="28"/>
                <w:szCs w:val="28"/>
              </w:rPr>
              <w:t>Rango de carga</w:t>
            </w:r>
          </w:p>
        </w:tc>
        <w:tc>
          <w:tcPr>
            <w:tcW w:w="747" w:type="dxa"/>
            <w:tcBorders>
              <w:top w:val="single" w:sz="4" w:space="0" w:color="000000"/>
              <w:left w:val="nil"/>
              <w:bottom w:val="single" w:sz="4" w:space="0" w:color="000000"/>
              <w:right w:val="single" w:sz="4" w:space="0" w:color="000000"/>
            </w:tcBorders>
            <w:shd w:val="clear" w:color="auto" w:fill="FFFF00"/>
            <w:vAlign w:val="bottom"/>
          </w:tcPr>
          <w:p w:rsidR="00503CAA" w:rsidRDefault="00AC34AE">
            <w:pPr>
              <w:spacing w:line="240" w:lineRule="auto"/>
              <w:jc w:val="center"/>
              <w:rPr>
                <w:b/>
                <w:sz w:val="28"/>
                <w:szCs w:val="28"/>
              </w:rPr>
            </w:pPr>
            <w:r>
              <w:rPr>
                <w:b/>
                <w:sz w:val="28"/>
                <w:szCs w:val="28"/>
              </w:rPr>
              <w:t>UTM</w:t>
            </w:r>
          </w:p>
        </w:tc>
      </w:tr>
      <w:tr w:rsidR="00503CAA">
        <w:trPr>
          <w:trHeight w:val="580"/>
        </w:trPr>
        <w:tc>
          <w:tcPr>
            <w:tcW w:w="2650"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Fijo por carga hasta 500 kg</w:t>
            </w:r>
          </w:p>
        </w:tc>
        <w:tc>
          <w:tcPr>
            <w:tcW w:w="747"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30</w:t>
            </w:r>
          </w:p>
        </w:tc>
      </w:tr>
      <w:tr w:rsidR="00503CAA">
        <w:trPr>
          <w:trHeight w:val="795"/>
        </w:trPr>
        <w:tc>
          <w:tcPr>
            <w:tcW w:w="2650"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Más de 500 kg. x cada kg. de excedencia hasta los 10.000 kg.</w:t>
            </w:r>
          </w:p>
        </w:tc>
        <w:tc>
          <w:tcPr>
            <w:tcW w:w="747" w:type="dxa"/>
            <w:tcBorders>
              <w:top w:val="nil"/>
              <w:left w:val="nil"/>
              <w:bottom w:val="single" w:sz="4" w:space="0" w:color="000000"/>
              <w:right w:val="single" w:sz="4" w:space="0" w:color="000000"/>
            </w:tcBorders>
            <w:shd w:val="clear" w:color="auto" w:fill="FFFFFF"/>
            <w:vAlign w:val="bottom"/>
          </w:tcPr>
          <w:p w:rsidR="00503CAA" w:rsidRDefault="00AC34AE">
            <w:pPr>
              <w:spacing w:line="240" w:lineRule="auto"/>
              <w:jc w:val="center"/>
              <w:rPr>
                <w:sz w:val="28"/>
                <w:szCs w:val="28"/>
              </w:rPr>
            </w:pPr>
            <w:r>
              <w:rPr>
                <w:sz w:val="28"/>
                <w:szCs w:val="28"/>
              </w:rPr>
              <w:t>0,18</w:t>
            </w:r>
          </w:p>
        </w:tc>
      </w:tr>
      <w:tr w:rsidR="00503CAA">
        <w:trPr>
          <w:trHeight w:val="992"/>
        </w:trPr>
        <w:tc>
          <w:tcPr>
            <w:tcW w:w="2650"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La carga que supere los 10.000 kg. se le aplicará por cada kg que exceda de 500 kg.</w:t>
            </w:r>
          </w:p>
        </w:tc>
        <w:tc>
          <w:tcPr>
            <w:tcW w:w="747" w:type="dxa"/>
            <w:tcBorders>
              <w:top w:val="nil"/>
              <w:left w:val="nil"/>
              <w:bottom w:val="single" w:sz="4" w:space="0" w:color="000000"/>
              <w:right w:val="single" w:sz="4" w:space="0" w:color="000000"/>
            </w:tcBorders>
            <w:shd w:val="clear" w:color="auto" w:fill="FFFFFF"/>
            <w:vAlign w:val="bottom"/>
          </w:tcPr>
          <w:p w:rsidR="00503CAA" w:rsidRDefault="00AC34AE">
            <w:pPr>
              <w:spacing w:line="240" w:lineRule="auto"/>
              <w:jc w:val="center"/>
              <w:rPr>
                <w:sz w:val="28"/>
                <w:szCs w:val="28"/>
              </w:rPr>
            </w:pPr>
            <w:r>
              <w:rPr>
                <w:sz w:val="28"/>
                <w:szCs w:val="28"/>
              </w:rPr>
              <w:t>0,16</w:t>
            </w:r>
          </w:p>
        </w:tc>
      </w:tr>
    </w:tbl>
    <w:p w:rsidR="00503CAA" w:rsidRDefault="00AC34AE">
      <w:pPr>
        <w:spacing w:line="360" w:lineRule="auto"/>
        <w:jc w:val="both"/>
        <w:rPr>
          <w:sz w:val="28"/>
          <w:szCs w:val="28"/>
        </w:rPr>
      </w:pPr>
      <w:r>
        <w:rPr>
          <w:sz w:val="28"/>
          <w:szCs w:val="28"/>
        </w:rPr>
        <w:br/>
      </w:r>
    </w:p>
    <w:p w:rsidR="00503CAA" w:rsidRDefault="00AC34AE">
      <w:pPr>
        <w:spacing w:line="360" w:lineRule="auto"/>
        <w:jc w:val="both"/>
        <w:rPr>
          <w:sz w:val="28"/>
          <w:szCs w:val="28"/>
        </w:rPr>
      </w:pPr>
      <w:r>
        <w:rPr>
          <w:sz w:val="28"/>
          <w:szCs w:val="28"/>
        </w:rPr>
        <w:t xml:space="preserve">c.1.2. </w:t>
      </w:r>
      <w:r>
        <w:rPr>
          <w:sz w:val="28"/>
          <w:szCs w:val="28"/>
          <w:u w:val="single"/>
        </w:rPr>
        <w:t>2da Categoría</w:t>
      </w:r>
      <w:r>
        <w:rPr>
          <w:sz w:val="28"/>
          <w:szCs w:val="28"/>
        </w:rPr>
        <w:t>:</w:t>
      </w:r>
    </w:p>
    <w:p w:rsidR="00503CAA" w:rsidRDefault="00AC34AE">
      <w:pPr>
        <w:spacing w:line="360" w:lineRule="auto"/>
        <w:jc w:val="both"/>
        <w:rPr>
          <w:sz w:val="28"/>
          <w:szCs w:val="28"/>
        </w:rPr>
      </w:pPr>
      <w:r>
        <w:rPr>
          <w:sz w:val="28"/>
          <w:szCs w:val="28"/>
        </w:rPr>
        <w:t xml:space="preserve">I- carne porcina </w:t>
      </w:r>
    </w:p>
    <w:p w:rsidR="00503CAA" w:rsidRDefault="00AC34AE">
      <w:pPr>
        <w:spacing w:line="360" w:lineRule="auto"/>
        <w:jc w:val="both"/>
        <w:rPr>
          <w:sz w:val="28"/>
          <w:szCs w:val="28"/>
        </w:rPr>
      </w:pPr>
      <w:r>
        <w:rPr>
          <w:sz w:val="28"/>
          <w:szCs w:val="28"/>
        </w:rPr>
        <w:t xml:space="preserve">II- aves y conejos  </w:t>
      </w:r>
    </w:p>
    <w:p w:rsidR="00503CAA" w:rsidRDefault="00AC34AE">
      <w:pPr>
        <w:spacing w:line="360" w:lineRule="auto"/>
        <w:jc w:val="both"/>
        <w:rPr>
          <w:sz w:val="28"/>
          <w:szCs w:val="28"/>
        </w:rPr>
      </w:pPr>
      <w:r>
        <w:rPr>
          <w:sz w:val="28"/>
          <w:szCs w:val="28"/>
        </w:rPr>
        <w:t xml:space="preserve">III- menudencias </w:t>
      </w:r>
    </w:p>
    <w:p w:rsidR="00503CAA" w:rsidRDefault="00AC34AE">
      <w:pPr>
        <w:spacing w:line="360" w:lineRule="auto"/>
        <w:jc w:val="both"/>
        <w:rPr>
          <w:sz w:val="28"/>
          <w:szCs w:val="28"/>
        </w:rPr>
      </w:pPr>
      <w:r>
        <w:rPr>
          <w:sz w:val="28"/>
          <w:szCs w:val="28"/>
        </w:rPr>
        <w:t>IV- fiambres y chacinados</w:t>
      </w:r>
    </w:p>
    <w:p w:rsidR="00503CAA" w:rsidRDefault="00AC34AE">
      <w:pPr>
        <w:spacing w:line="360" w:lineRule="auto"/>
        <w:jc w:val="both"/>
        <w:rPr>
          <w:sz w:val="28"/>
          <w:szCs w:val="28"/>
        </w:rPr>
      </w:pPr>
      <w:r>
        <w:rPr>
          <w:sz w:val="28"/>
          <w:szCs w:val="28"/>
        </w:rPr>
        <w:t xml:space="preserve">V- grasa de origen animal </w:t>
      </w:r>
    </w:p>
    <w:p w:rsidR="00503CAA" w:rsidRDefault="00AC34AE">
      <w:pPr>
        <w:spacing w:line="360" w:lineRule="auto"/>
        <w:jc w:val="both"/>
        <w:rPr>
          <w:sz w:val="28"/>
          <w:szCs w:val="28"/>
        </w:rPr>
      </w:pPr>
      <w:r>
        <w:rPr>
          <w:sz w:val="28"/>
          <w:szCs w:val="28"/>
        </w:rPr>
        <w:t>VI pastas</w:t>
      </w:r>
    </w:p>
    <w:tbl>
      <w:tblPr>
        <w:tblStyle w:val="a0"/>
        <w:tblW w:w="3539" w:type="dxa"/>
        <w:tblInd w:w="0" w:type="dxa"/>
        <w:tblLayout w:type="fixed"/>
        <w:tblLook w:val="0400" w:firstRow="0" w:lastRow="0" w:firstColumn="0" w:lastColumn="0" w:noHBand="0" w:noVBand="1"/>
      </w:tblPr>
      <w:tblGrid>
        <w:gridCol w:w="2792"/>
        <w:gridCol w:w="747"/>
      </w:tblGrid>
      <w:tr w:rsidR="00503CAA">
        <w:trPr>
          <w:trHeight w:val="290"/>
        </w:trPr>
        <w:tc>
          <w:tcPr>
            <w:tcW w:w="2792" w:type="dxa"/>
            <w:tcBorders>
              <w:top w:val="single" w:sz="4" w:space="0" w:color="000000"/>
              <w:left w:val="single" w:sz="4" w:space="0" w:color="000000"/>
              <w:bottom w:val="single" w:sz="4" w:space="0" w:color="000000"/>
              <w:right w:val="single" w:sz="4" w:space="0" w:color="000000"/>
            </w:tcBorders>
            <w:shd w:val="clear" w:color="auto" w:fill="92D050"/>
            <w:vAlign w:val="bottom"/>
          </w:tcPr>
          <w:p w:rsidR="00503CAA" w:rsidRDefault="00AC34AE">
            <w:pPr>
              <w:spacing w:line="240" w:lineRule="auto"/>
              <w:jc w:val="center"/>
              <w:rPr>
                <w:b/>
                <w:sz w:val="28"/>
                <w:szCs w:val="28"/>
              </w:rPr>
            </w:pPr>
            <w:r>
              <w:rPr>
                <w:b/>
                <w:sz w:val="28"/>
                <w:szCs w:val="28"/>
              </w:rPr>
              <w:t>Rango de Carga</w:t>
            </w:r>
          </w:p>
        </w:tc>
        <w:tc>
          <w:tcPr>
            <w:tcW w:w="747" w:type="dxa"/>
            <w:tcBorders>
              <w:top w:val="single" w:sz="4" w:space="0" w:color="000000"/>
              <w:left w:val="nil"/>
              <w:bottom w:val="single" w:sz="4" w:space="0" w:color="000000"/>
              <w:right w:val="single" w:sz="4" w:space="0" w:color="000000"/>
            </w:tcBorders>
            <w:shd w:val="clear" w:color="auto" w:fill="92D050"/>
            <w:vAlign w:val="bottom"/>
          </w:tcPr>
          <w:p w:rsidR="00503CAA" w:rsidRDefault="00AC34AE">
            <w:pPr>
              <w:spacing w:line="240" w:lineRule="auto"/>
              <w:jc w:val="center"/>
              <w:rPr>
                <w:b/>
                <w:sz w:val="28"/>
                <w:szCs w:val="28"/>
              </w:rPr>
            </w:pPr>
            <w:r>
              <w:rPr>
                <w:b/>
                <w:sz w:val="28"/>
                <w:szCs w:val="28"/>
              </w:rPr>
              <w:t>UTM</w:t>
            </w:r>
          </w:p>
        </w:tc>
      </w:tr>
      <w:tr w:rsidR="00503CAA">
        <w:trPr>
          <w:trHeight w:val="580"/>
        </w:trPr>
        <w:tc>
          <w:tcPr>
            <w:tcW w:w="2792"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ind w:right="-82"/>
              <w:rPr>
                <w:sz w:val="28"/>
                <w:szCs w:val="28"/>
              </w:rPr>
            </w:pPr>
            <w:r>
              <w:rPr>
                <w:sz w:val="28"/>
                <w:szCs w:val="28"/>
              </w:rPr>
              <w:t>Fijo por carga hasta 1.000 kg.</w:t>
            </w:r>
          </w:p>
        </w:tc>
        <w:tc>
          <w:tcPr>
            <w:tcW w:w="747"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30</w:t>
            </w:r>
          </w:p>
        </w:tc>
      </w:tr>
      <w:tr w:rsidR="00503CAA">
        <w:trPr>
          <w:trHeight w:val="793"/>
        </w:trPr>
        <w:tc>
          <w:tcPr>
            <w:tcW w:w="27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Más de 1.000 kg. por cada kg. de excedencia hasta los 10.000 kg.</w:t>
            </w:r>
          </w:p>
        </w:tc>
        <w:tc>
          <w:tcPr>
            <w:tcW w:w="747" w:type="dxa"/>
            <w:tcBorders>
              <w:top w:val="single" w:sz="4" w:space="0" w:color="000000"/>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0,03</w:t>
            </w:r>
          </w:p>
        </w:tc>
      </w:tr>
      <w:tr w:rsidR="00503CAA">
        <w:trPr>
          <w:trHeight w:val="1060"/>
        </w:trPr>
        <w:tc>
          <w:tcPr>
            <w:tcW w:w="2792"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lastRenderedPageBreak/>
              <w:t>La carga que supere los 10.000 kg. se le aplicará por cada kg que exceda de 1.000 kg.</w:t>
            </w:r>
          </w:p>
        </w:tc>
        <w:tc>
          <w:tcPr>
            <w:tcW w:w="747"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0,02</w:t>
            </w:r>
          </w:p>
        </w:tc>
      </w:tr>
    </w:tbl>
    <w:p w:rsidR="00503CAA" w:rsidRDefault="00503CAA">
      <w:pPr>
        <w:spacing w:line="360" w:lineRule="auto"/>
        <w:jc w:val="both"/>
        <w:rPr>
          <w:sz w:val="28"/>
          <w:szCs w:val="28"/>
        </w:rPr>
      </w:pPr>
    </w:p>
    <w:p w:rsidR="00503CAA" w:rsidRDefault="00AC34AE">
      <w:pPr>
        <w:spacing w:line="360" w:lineRule="auto"/>
        <w:jc w:val="both"/>
        <w:rPr>
          <w:sz w:val="28"/>
          <w:szCs w:val="28"/>
        </w:rPr>
      </w:pPr>
      <w:r>
        <w:rPr>
          <w:sz w:val="28"/>
          <w:szCs w:val="28"/>
        </w:rPr>
        <w:t xml:space="preserve">c.1.3. </w:t>
      </w:r>
      <w:r>
        <w:rPr>
          <w:sz w:val="28"/>
          <w:szCs w:val="28"/>
          <w:u w:val="single"/>
        </w:rPr>
        <w:t>3ra Categoría</w:t>
      </w:r>
      <w:r>
        <w:rPr>
          <w:sz w:val="28"/>
          <w:szCs w:val="28"/>
        </w:rPr>
        <w:t>:</w:t>
      </w:r>
    </w:p>
    <w:p w:rsidR="00503CAA" w:rsidRDefault="00AC34AE">
      <w:pPr>
        <w:spacing w:line="360" w:lineRule="auto"/>
        <w:jc w:val="both"/>
        <w:rPr>
          <w:sz w:val="28"/>
          <w:szCs w:val="28"/>
        </w:rPr>
      </w:pPr>
      <w:r>
        <w:rPr>
          <w:sz w:val="28"/>
          <w:szCs w:val="28"/>
        </w:rPr>
        <w:t>I-  huevos;</w:t>
      </w:r>
    </w:p>
    <w:p w:rsidR="00503CAA" w:rsidRDefault="00AC34AE">
      <w:pPr>
        <w:spacing w:line="360" w:lineRule="auto"/>
        <w:jc w:val="both"/>
        <w:rPr>
          <w:sz w:val="28"/>
          <w:szCs w:val="28"/>
        </w:rPr>
      </w:pPr>
      <w:r>
        <w:rPr>
          <w:sz w:val="28"/>
          <w:szCs w:val="28"/>
        </w:rPr>
        <w:t>II- productos de panificación;</w:t>
      </w:r>
    </w:p>
    <w:p w:rsidR="00503CAA" w:rsidRDefault="00AC34AE">
      <w:pPr>
        <w:spacing w:line="360" w:lineRule="auto"/>
        <w:jc w:val="both"/>
        <w:rPr>
          <w:sz w:val="28"/>
          <w:szCs w:val="28"/>
        </w:rPr>
      </w:pPr>
      <w:r>
        <w:rPr>
          <w:sz w:val="28"/>
          <w:szCs w:val="28"/>
        </w:rPr>
        <w:t>III- productos de confitería y afines.</w:t>
      </w:r>
    </w:p>
    <w:tbl>
      <w:tblPr>
        <w:tblStyle w:val="a1"/>
        <w:tblW w:w="3681" w:type="dxa"/>
        <w:tblInd w:w="0" w:type="dxa"/>
        <w:tblLayout w:type="fixed"/>
        <w:tblLook w:val="0400" w:firstRow="0" w:lastRow="0" w:firstColumn="0" w:lastColumn="0" w:noHBand="0" w:noVBand="1"/>
      </w:tblPr>
      <w:tblGrid>
        <w:gridCol w:w="2972"/>
        <w:gridCol w:w="709"/>
      </w:tblGrid>
      <w:tr w:rsidR="00503CAA">
        <w:trPr>
          <w:trHeight w:val="290"/>
        </w:trPr>
        <w:tc>
          <w:tcPr>
            <w:tcW w:w="2972" w:type="dxa"/>
            <w:tcBorders>
              <w:top w:val="single" w:sz="4" w:space="0" w:color="000000"/>
              <w:left w:val="single" w:sz="4" w:space="0" w:color="000000"/>
              <w:bottom w:val="single" w:sz="4" w:space="0" w:color="000000"/>
              <w:right w:val="single" w:sz="4" w:space="0" w:color="000000"/>
            </w:tcBorders>
            <w:shd w:val="clear" w:color="auto" w:fill="00B0F0"/>
            <w:vAlign w:val="bottom"/>
          </w:tcPr>
          <w:p w:rsidR="00503CAA" w:rsidRDefault="00AC34AE">
            <w:pPr>
              <w:spacing w:line="240" w:lineRule="auto"/>
              <w:jc w:val="center"/>
              <w:rPr>
                <w:b/>
                <w:sz w:val="28"/>
                <w:szCs w:val="28"/>
              </w:rPr>
            </w:pPr>
            <w:r>
              <w:rPr>
                <w:b/>
                <w:sz w:val="28"/>
                <w:szCs w:val="28"/>
              </w:rPr>
              <w:t>Rango de Carga</w:t>
            </w:r>
          </w:p>
        </w:tc>
        <w:tc>
          <w:tcPr>
            <w:tcW w:w="709" w:type="dxa"/>
            <w:tcBorders>
              <w:top w:val="single" w:sz="4" w:space="0" w:color="000000"/>
              <w:left w:val="nil"/>
              <w:bottom w:val="single" w:sz="4" w:space="0" w:color="000000"/>
              <w:right w:val="single" w:sz="4" w:space="0" w:color="000000"/>
            </w:tcBorders>
            <w:shd w:val="clear" w:color="auto" w:fill="00B0F0"/>
            <w:vAlign w:val="bottom"/>
          </w:tcPr>
          <w:p w:rsidR="00503CAA" w:rsidRDefault="00AC34AE">
            <w:pPr>
              <w:spacing w:line="240" w:lineRule="auto"/>
              <w:jc w:val="center"/>
              <w:rPr>
                <w:b/>
                <w:sz w:val="28"/>
                <w:szCs w:val="28"/>
              </w:rPr>
            </w:pPr>
            <w:r>
              <w:rPr>
                <w:b/>
                <w:sz w:val="28"/>
                <w:szCs w:val="28"/>
              </w:rPr>
              <w:t>UTM</w:t>
            </w:r>
          </w:p>
        </w:tc>
      </w:tr>
      <w:tr w:rsidR="00503CAA">
        <w:trPr>
          <w:trHeight w:val="537"/>
        </w:trPr>
        <w:tc>
          <w:tcPr>
            <w:tcW w:w="2972"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Fijo por carga hasta 1.000 kg o 120 docenas.</w:t>
            </w:r>
          </w:p>
        </w:tc>
        <w:tc>
          <w:tcPr>
            <w:tcW w:w="709"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30</w:t>
            </w:r>
          </w:p>
        </w:tc>
      </w:tr>
      <w:tr w:rsidR="00503CAA">
        <w:trPr>
          <w:trHeight w:val="984"/>
        </w:trPr>
        <w:tc>
          <w:tcPr>
            <w:tcW w:w="2972"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Más de 1.000 kg x cada kg. de excedencia o por cada docena que supere las 120 docenas.</w:t>
            </w:r>
          </w:p>
        </w:tc>
        <w:tc>
          <w:tcPr>
            <w:tcW w:w="709"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0,06</w:t>
            </w:r>
          </w:p>
        </w:tc>
      </w:tr>
      <w:tr w:rsidR="00503CAA">
        <w:trPr>
          <w:trHeight w:val="1185"/>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3CAA" w:rsidRDefault="00AC34AE">
            <w:pPr>
              <w:spacing w:line="240" w:lineRule="auto"/>
              <w:jc w:val="center"/>
              <w:rPr>
                <w:sz w:val="28"/>
                <w:szCs w:val="28"/>
              </w:rPr>
            </w:pPr>
            <w:r>
              <w:rPr>
                <w:sz w:val="28"/>
                <w:szCs w:val="28"/>
              </w:rPr>
              <w:t xml:space="preserve">Obs.: En el único supuesto que se aplica la tasa de introducción por docena es cuando se transporta *huevos. </w:t>
            </w:r>
          </w:p>
        </w:tc>
      </w:tr>
    </w:tbl>
    <w:p w:rsidR="00503CAA" w:rsidRDefault="00503CAA">
      <w:pPr>
        <w:spacing w:line="360" w:lineRule="auto"/>
        <w:jc w:val="both"/>
        <w:rPr>
          <w:sz w:val="28"/>
          <w:szCs w:val="28"/>
        </w:rPr>
      </w:pPr>
    </w:p>
    <w:p w:rsidR="00503CAA" w:rsidRDefault="00503CAA">
      <w:pPr>
        <w:spacing w:line="240" w:lineRule="auto"/>
        <w:ind w:firstLine="284"/>
        <w:jc w:val="both"/>
        <w:rPr>
          <w:sz w:val="28"/>
          <w:szCs w:val="28"/>
        </w:rPr>
      </w:pPr>
    </w:p>
    <w:p w:rsidR="00503CAA" w:rsidRDefault="00503CAA">
      <w:pPr>
        <w:spacing w:line="240" w:lineRule="auto"/>
        <w:ind w:firstLine="284"/>
        <w:jc w:val="both"/>
        <w:rPr>
          <w:sz w:val="28"/>
          <w:szCs w:val="28"/>
        </w:rPr>
      </w:pPr>
    </w:p>
    <w:p w:rsidR="00503CAA" w:rsidRDefault="00AC34AE">
      <w:pPr>
        <w:spacing w:line="360" w:lineRule="auto"/>
        <w:jc w:val="both"/>
        <w:rPr>
          <w:sz w:val="28"/>
          <w:szCs w:val="28"/>
          <w:u w:val="single"/>
        </w:rPr>
      </w:pPr>
      <w:r>
        <w:rPr>
          <w:sz w:val="28"/>
          <w:szCs w:val="28"/>
        </w:rPr>
        <w:t xml:space="preserve">c.1.4. </w:t>
      </w:r>
      <w:r>
        <w:rPr>
          <w:sz w:val="28"/>
          <w:szCs w:val="28"/>
          <w:u w:val="single"/>
        </w:rPr>
        <w:t>4ta Categoría:</w:t>
      </w:r>
    </w:p>
    <w:p w:rsidR="00503CAA" w:rsidRDefault="00AC34AE">
      <w:pPr>
        <w:spacing w:line="360" w:lineRule="auto"/>
        <w:jc w:val="both"/>
        <w:rPr>
          <w:sz w:val="28"/>
          <w:szCs w:val="28"/>
        </w:rPr>
      </w:pPr>
      <w:r>
        <w:rPr>
          <w:sz w:val="28"/>
          <w:szCs w:val="28"/>
        </w:rPr>
        <w:t>I) bebidas gaseosas;</w:t>
      </w:r>
    </w:p>
    <w:p w:rsidR="00503CAA" w:rsidRDefault="00AC34AE">
      <w:pPr>
        <w:spacing w:line="360" w:lineRule="auto"/>
        <w:jc w:val="both"/>
        <w:rPr>
          <w:i/>
          <w:sz w:val="28"/>
          <w:szCs w:val="28"/>
          <w:u w:val="single"/>
        </w:rPr>
      </w:pPr>
      <w:r>
        <w:rPr>
          <w:sz w:val="28"/>
          <w:szCs w:val="28"/>
        </w:rPr>
        <w:t>II) bebidas alcohólicas.</w:t>
      </w:r>
    </w:p>
    <w:tbl>
      <w:tblPr>
        <w:tblStyle w:val="a2"/>
        <w:tblW w:w="3397" w:type="dxa"/>
        <w:tblInd w:w="0" w:type="dxa"/>
        <w:tblLayout w:type="fixed"/>
        <w:tblLook w:val="0400" w:firstRow="0" w:lastRow="0" w:firstColumn="0" w:lastColumn="0" w:noHBand="0" w:noVBand="1"/>
      </w:tblPr>
      <w:tblGrid>
        <w:gridCol w:w="2591"/>
        <w:gridCol w:w="806"/>
      </w:tblGrid>
      <w:tr w:rsidR="00503CAA">
        <w:trPr>
          <w:trHeight w:val="290"/>
        </w:trPr>
        <w:tc>
          <w:tcPr>
            <w:tcW w:w="2591" w:type="dxa"/>
            <w:tcBorders>
              <w:top w:val="single" w:sz="4" w:space="0" w:color="000000"/>
              <w:left w:val="single" w:sz="4" w:space="0" w:color="000000"/>
              <w:bottom w:val="single" w:sz="4" w:space="0" w:color="000000"/>
              <w:right w:val="single" w:sz="4" w:space="0" w:color="000000"/>
            </w:tcBorders>
            <w:shd w:val="clear" w:color="auto" w:fill="C65911"/>
            <w:vAlign w:val="bottom"/>
          </w:tcPr>
          <w:p w:rsidR="00503CAA" w:rsidRDefault="00AC34AE">
            <w:pPr>
              <w:spacing w:line="240" w:lineRule="auto"/>
              <w:jc w:val="center"/>
              <w:rPr>
                <w:b/>
                <w:sz w:val="28"/>
                <w:szCs w:val="28"/>
              </w:rPr>
            </w:pPr>
            <w:r>
              <w:rPr>
                <w:b/>
                <w:sz w:val="28"/>
                <w:szCs w:val="28"/>
              </w:rPr>
              <w:t>Rango de Carga</w:t>
            </w:r>
          </w:p>
        </w:tc>
        <w:tc>
          <w:tcPr>
            <w:tcW w:w="806" w:type="dxa"/>
            <w:tcBorders>
              <w:top w:val="single" w:sz="4" w:space="0" w:color="000000"/>
              <w:left w:val="nil"/>
              <w:bottom w:val="single" w:sz="4" w:space="0" w:color="000000"/>
              <w:right w:val="single" w:sz="4" w:space="0" w:color="000000"/>
            </w:tcBorders>
            <w:shd w:val="clear" w:color="auto" w:fill="C65911"/>
            <w:vAlign w:val="bottom"/>
          </w:tcPr>
          <w:p w:rsidR="00503CAA" w:rsidRDefault="00AC34AE">
            <w:pPr>
              <w:spacing w:line="240" w:lineRule="auto"/>
              <w:jc w:val="center"/>
              <w:rPr>
                <w:b/>
                <w:sz w:val="28"/>
                <w:szCs w:val="28"/>
              </w:rPr>
            </w:pPr>
            <w:r>
              <w:rPr>
                <w:b/>
                <w:sz w:val="28"/>
                <w:szCs w:val="28"/>
              </w:rPr>
              <w:t>UTM</w:t>
            </w:r>
          </w:p>
        </w:tc>
      </w:tr>
      <w:tr w:rsidR="00503CAA">
        <w:trPr>
          <w:trHeight w:val="526"/>
        </w:trPr>
        <w:tc>
          <w:tcPr>
            <w:tcW w:w="2591"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Fijo por carga hasta 1.000 L.</w:t>
            </w:r>
          </w:p>
        </w:tc>
        <w:tc>
          <w:tcPr>
            <w:tcW w:w="806"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30</w:t>
            </w:r>
          </w:p>
        </w:tc>
      </w:tr>
      <w:tr w:rsidR="00503CAA">
        <w:trPr>
          <w:trHeight w:val="995"/>
        </w:trPr>
        <w:tc>
          <w:tcPr>
            <w:tcW w:w="2591"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Más de 1.000 L. x cada L. de excedencia hasta los 10.000 L.</w:t>
            </w:r>
          </w:p>
        </w:tc>
        <w:tc>
          <w:tcPr>
            <w:tcW w:w="806"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0,06</w:t>
            </w:r>
          </w:p>
        </w:tc>
      </w:tr>
      <w:tr w:rsidR="00503CAA">
        <w:trPr>
          <w:trHeight w:val="1256"/>
        </w:trPr>
        <w:tc>
          <w:tcPr>
            <w:tcW w:w="2591"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lastRenderedPageBreak/>
              <w:t>La carga que supere los 10.000 L. se le aplicará por cada L. que exceda de 1.000 L.</w:t>
            </w:r>
          </w:p>
        </w:tc>
        <w:tc>
          <w:tcPr>
            <w:tcW w:w="806"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0,05</w:t>
            </w:r>
          </w:p>
        </w:tc>
      </w:tr>
    </w:tbl>
    <w:p w:rsidR="00503CAA" w:rsidRDefault="00503CAA">
      <w:pPr>
        <w:spacing w:line="360" w:lineRule="auto"/>
        <w:jc w:val="both"/>
        <w:rPr>
          <w:sz w:val="28"/>
          <w:szCs w:val="28"/>
        </w:rPr>
      </w:pPr>
    </w:p>
    <w:p w:rsidR="00503CAA" w:rsidRDefault="00AC34AE">
      <w:pPr>
        <w:spacing w:line="360" w:lineRule="auto"/>
        <w:jc w:val="both"/>
        <w:rPr>
          <w:b/>
          <w:i/>
          <w:sz w:val="28"/>
          <w:szCs w:val="28"/>
          <w:u w:val="single"/>
        </w:rPr>
      </w:pPr>
      <w:r>
        <w:rPr>
          <w:sz w:val="28"/>
          <w:szCs w:val="28"/>
        </w:rPr>
        <w:t xml:space="preserve">c.1.5. </w:t>
      </w:r>
      <w:r>
        <w:rPr>
          <w:sz w:val="28"/>
          <w:szCs w:val="28"/>
          <w:u w:val="single"/>
        </w:rPr>
        <w:t>5ta Categoría:</w:t>
      </w:r>
    </w:p>
    <w:p w:rsidR="00503CAA" w:rsidRDefault="00AC34AE">
      <w:pPr>
        <w:spacing w:line="360" w:lineRule="auto"/>
        <w:jc w:val="both"/>
        <w:rPr>
          <w:sz w:val="28"/>
          <w:szCs w:val="28"/>
        </w:rPr>
      </w:pPr>
      <w:r>
        <w:rPr>
          <w:sz w:val="28"/>
          <w:szCs w:val="28"/>
        </w:rPr>
        <w:t>I) leche;</w:t>
      </w:r>
    </w:p>
    <w:p w:rsidR="00503CAA" w:rsidRDefault="00AC34AE">
      <w:pPr>
        <w:spacing w:line="360" w:lineRule="auto"/>
        <w:jc w:val="both"/>
        <w:rPr>
          <w:sz w:val="28"/>
          <w:szCs w:val="28"/>
        </w:rPr>
      </w:pPr>
      <w:r>
        <w:rPr>
          <w:sz w:val="28"/>
          <w:szCs w:val="28"/>
        </w:rPr>
        <w:t>II) jugos;</w:t>
      </w:r>
    </w:p>
    <w:p w:rsidR="00503CAA" w:rsidRDefault="00AC34AE">
      <w:pPr>
        <w:spacing w:line="360" w:lineRule="auto"/>
        <w:jc w:val="both"/>
        <w:rPr>
          <w:sz w:val="28"/>
          <w:szCs w:val="28"/>
        </w:rPr>
      </w:pPr>
      <w:r>
        <w:rPr>
          <w:sz w:val="28"/>
          <w:szCs w:val="28"/>
        </w:rPr>
        <w:t>III) aguas minerales;</w:t>
      </w:r>
    </w:p>
    <w:p w:rsidR="00503CAA" w:rsidRDefault="00AC34AE">
      <w:pPr>
        <w:spacing w:line="360" w:lineRule="auto"/>
        <w:jc w:val="both"/>
        <w:rPr>
          <w:sz w:val="28"/>
          <w:szCs w:val="28"/>
        </w:rPr>
      </w:pPr>
      <w:r>
        <w:rPr>
          <w:sz w:val="28"/>
          <w:szCs w:val="28"/>
        </w:rPr>
        <w:t>IV) frutas, verduras y hortalizas.</w:t>
      </w:r>
    </w:p>
    <w:tbl>
      <w:tblPr>
        <w:tblStyle w:val="a3"/>
        <w:tblW w:w="3420" w:type="dxa"/>
        <w:tblInd w:w="0" w:type="dxa"/>
        <w:tblLayout w:type="fixed"/>
        <w:tblLook w:val="0400" w:firstRow="0" w:lastRow="0" w:firstColumn="0" w:lastColumn="0" w:noHBand="0" w:noVBand="1"/>
      </w:tblPr>
      <w:tblGrid>
        <w:gridCol w:w="2547"/>
        <w:gridCol w:w="873"/>
      </w:tblGrid>
      <w:tr w:rsidR="00503CAA">
        <w:trPr>
          <w:trHeight w:val="290"/>
        </w:trPr>
        <w:tc>
          <w:tcPr>
            <w:tcW w:w="2547" w:type="dxa"/>
            <w:tcBorders>
              <w:top w:val="single" w:sz="4" w:space="0" w:color="000000"/>
              <w:left w:val="single" w:sz="4" w:space="0" w:color="000000"/>
              <w:bottom w:val="single" w:sz="4" w:space="0" w:color="000000"/>
              <w:right w:val="single" w:sz="4" w:space="0" w:color="000000"/>
            </w:tcBorders>
            <w:shd w:val="clear" w:color="auto" w:fill="FFC000"/>
            <w:vAlign w:val="bottom"/>
          </w:tcPr>
          <w:p w:rsidR="00503CAA" w:rsidRDefault="00AC34AE">
            <w:pPr>
              <w:spacing w:line="240" w:lineRule="auto"/>
              <w:jc w:val="center"/>
              <w:rPr>
                <w:b/>
                <w:sz w:val="28"/>
                <w:szCs w:val="28"/>
              </w:rPr>
            </w:pPr>
            <w:r>
              <w:rPr>
                <w:b/>
                <w:sz w:val="28"/>
                <w:szCs w:val="28"/>
              </w:rPr>
              <w:t>Rango de Carga</w:t>
            </w:r>
          </w:p>
        </w:tc>
        <w:tc>
          <w:tcPr>
            <w:tcW w:w="873" w:type="dxa"/>
            <w:tcBorders>
              <w:top w:val="single" w:sz="4" w:space="0" w:color="000000"/>
              <w:left w:val="nil"/>
              <w:bottom w:val="single" w:sz="4" w:space="0" w:color="000000"/>
              <w:right w:val="single" w:sz="4" w:space="0" w:color="000000"/>
            </w:tcBorders>
            <w:shd w:val="clear" w:color="auto" w:fill="FFC000"/>
            <w:vAlign w:val="bottom"/>
          </w:tcPr>
          <w:p w:rsidR="00503CAA" w:rsidRDefault="00AC34AE">
            <w:pPr>
              <w:spacing w:line="240" w:lineRule="auto"/>
              <w:jc w:val="center"/>
              <w:rPr>
                <w:b/>
                <w:sz w:val="28"/>
                <w:szCs w:val="28"/>
              </w:rPr>
            </w:pPr>
            <w:r>
              <w:rPr>
                <w:b/>
                <w:sz w:val="28"/>
                <w:szCs w:val="28"/>
              </w:rPr>
              <w:t>UTM</w:t>
            </w:r>
          </w:p>
        </w:tc>
      </w:tr>
      <w:tr w:rsidR="00503CAA">
        <w:trPr>
          <w:trHeight w:val="316"/>
        </w:trPr>
        <w:tc>
          <w:tcPr>
            <w:tcW w:w="2547"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Fijo por carga hasta 1.000 Kg./L.</w:t>
            </w:r>
          </w:p>
        </w:tc>
        <w:tc>
          <w:tcPr>
            <w:tcW w:w="873"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30</w:t>
            </w:r>
          </w:p>
        </w:tc>
      </w:tr>
      <w:tr w:rsidR="00503CAA">
        <w:trPr>
          <w:trHeight w:val="845"/>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Más de 1.000 Kg. x cada Kg./L. de excedencia hasta los 10.000 Kg./L.</w:t>
            </w:r>
          </w:p>
        </w:tc>
        <w:tc>
          <w:tcPr>
            <w:tcW w:w="873" w:type="dxa"/>
            <w:tcBorders>
              <w:top w:val="single" w:sz="4" w:space="0" w:color="000000"/>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0,04</w:t>
            </w:r>
          </w:p>
        </w:tc>
      </w:tr>
      <w:tr w:rsidR="00503CAA">
        <w:trPr>
          <w:trHeight w:val="1142"/>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La carga que supere los 10.000 kg./L. se le aplicará por cada kg./L. que exceda de 1.000 kg./L.</w:t>
            </w:r>
          </w:p>
        </w:tc>
        <w:tc>
          <w:tcPr>
            <w:tcW w:w="873"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0,03</w:t>
            </w:r>
          </w:p>
        </w:tc>
      </w:tr>
    </w:tbl>
    <w:p w:rsidR="00503CAA" w:rsidRDefault="00503CAA">
      <w:pPr>
        <w:spacing w:line="360" w:lineRule="auto"/>
        <w:jc w:val="both"/>
        <w:rPr>
          <w:sz w:val="28"/>
          <w:szCs w:val="28"/>
        </w:rPr>
      </w:pPr>
    </w:p>
    <w:p w:rsidR="00503CAA" w:rsidRDefault="00AC34AE">
      <w:pPr>
        <w:spacing w:line="360" w:lineRule="auto"/>
        <w:jc w:val="both"/>
        <w:rPr>
          <w:sz w:val="28"/>
          <w:szCs w:val="28"/>
          <w:u w:val="single"/>
        </w:rPr>
      </w:pPr>
      <w:r>
        <w:rPr>
          <w:sz w:val="28"/>
          <w:szCs w:val="28"/>
        </w:rPr>
        <w:t>c.1.6</w:t>
      </w:r>
      <w:r>
        <w:rPr>
          <w:b/>
          <w:i/>
          <w:sz w:val="28"/>
          <w:szCs w:val="28"/>
        </w:rPr>
        <w:t xml:space="preserve">. </w:t>
      </w:r>
      <w:r>
        <w:rPr>
          <w:sz w:val="28"/>
          <w:szCs w:val="28"/>
          <w:u w:val="single"/>
        </w:rPr>
        <w:t>6ta Categoría:</w:t>
      </w:r>
    </w:p>
    <w:p w:rsidR="00503CAA" w:rsidRDefault="00AC34AE">
      <w:pPr>
        <w:spacing w:line="360" w:lineRule="auto"/>
        <w:jc w:val="both"/>
        <w:rPr>
          <w:sz w:val="28"/>
          <w:szCs w:val="28"/>
        </w:rPr>
      </w:pPr>
      <w:r>
        <w:rPr>
          <w:sz w:val="28"/>
          <w:szCs w:val="28"/>
        </w:rPr>
        <w:t>I-  harinas;</w:t>
      </w:r>
    </w:p>
    <w:p w:rsidR="00503CAA" w:rsidRDefault="00AC34AE">
      <w:pPr>
        <w:spacing w:line="360" w:lineRule="auto"/>
        <w:jc w:val="both"/>
        <w:rPr>
          <w:sz w:val="28"/>
          <w:szCs w:val="28"/>
        </w:rPr>
      </w:pPr>
      <w:r>
        <w:rPr>
          <w:sz w:val="28"/>
          <w:szCs w:val="28"/>
        </w:rPr>
        <w:t>II- aceites.</w:t>
      </w:r>
    </w:p>
    <w:tbl>
      <w:tblPr>
        <w:tblStyle w:val="a4"/>
        <w:tblW w:w="3420" w:type="dxa"/>
        <w:tblInd w:w="0" w:type="dxa"/>
        <w:tblLayout w:type="fixed"/>
        <w:tblLook w:val="0400" w:firstRow="0" w:lastRow="0" w:firstColumn="0" w:lastColumn="0" w:noHBand="0" w:noVBand="1"/>
      </w:tblPr>
      <w:tblGrid>
        <w:gridCol w:w="2673"/>
        <w:gridCol w:w="747"/>
      </w:tblGrid>
      <w:tr w:rsidR="00503CAA">
        <w:trPr>
          <w:trHeight w:val="290"/>
        </w:trPr>
        <w:tc>
          <w:tcPr>
            <w:tcW w:w="2673" w:type="dxa"/>
            <w:tcBorders>
              <w:top w:val="single" w:sz="4" w:space="0" w:color="000000"/>
              <w:left w:val="single" w:sz="4" w:space="0" w:color="000000"/>
              <w:bottom w:val="single" w:sz="4" w:space="0" w:color="000000"/>
              <w:right w:val="single" w:sz="4" w:space="0" w:color="000000"/>
            </w:tcBorders>
            <w:shd w:val="clear" w:color="auto" w:fill="FF0000"/>
            <w:vAlign w:val="bottom"/>
          </w:tcPr>
          <w:p w:rsidR="00503CAA" w:rsidRDefault="00AC34AE">
            <w:pPr>
              <w:spacing w:line="240" w:lineRule="auto"/>
              <w:jc w:val="center"/>
              <w:rPr>
                <w:b/>
                <w:sz w:val="28"/>
                <w:szCs w:val="28"/>
              </w:rPr>
            </w:pPr>
            <w:r>
              <w:rPr>
                <w:b/>
                <w:sz w:val="28"/>
                <w:szCs w:val="28"/>
              </w:rPr>
              <w:t>Rango de Carga</w:t>
            </w:r>
          </w:p>
        </w:tc>
        <w:tc>
          <w:tcPr>
            <w:tcW w:w="747" w:type="dxa"/>
            <w:tcBorders>
              <w:top w:val="single" w:sz="4" w:space="0" w:color="000000"/>
              <w:left w:val="nil"/>
              <w:bottom w:val="single" w:sz="4" w:space="0" w:color="000000"/>
              <w:right w:val="single" w:sz="4" w:space="0" w:color="000000"/>
            </w:tcBorders>
            <w:shd w:val="clear" w:color="auto" w:fill="FF0000"/>
            <w:vAlign w:val="bottom"/>
          </w:tcPr>
          <w:p w:rsidR="00503CAA" w:rsidRDefault="00AC34AE">
            <w:pPr>
              <w:spacing w:line="240" w:lineRule="auto"/>
              <w:jc w:val="center"/>
              <w:rPr>
                <w:b/>
                <w:sz w:val="28"/>
                <w:szCs w:val="28"/>
              </w:rPr>
            </w:pPr>
            <w:r>
              <w:rPr>
                <w:b/>
                <w:sz w:val="28"/>
                <w:szCs w:val="28"/>
              </w:rPr>
              <w:t>UTM</w:t>
            </w:r>
          </w:p>
        </w:tc>
      </w:tr>
      <w:tr w:rsidR="00503CAA">
        <w:trPr>
          <w:trHeight w:val="580"/>
        </w:trPr>
        <w:tc>
          <w:tcPr>
            <w:tcW w:w="2673"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Fijo por carga hasta 1.000 kg./L.</w:t>
            </w:r>
          </w:p>
        </w:tc>
        <w:tc>
          <w:tcPr>
            <w:tcW w:w="747"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30</w:t>
            </w:r>
          </w:p>
        </w:tc>
      </w:tr>
      <w:tr w:rsidR="00503CAA">
        <w:trPr>
          <w:trHeight w:val="902"/>
        </w:trPr>
        <w:tc>
          <w:tcPr>
            <w:tcW w:w="2673"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Más de 1.000 kg./L. x cada Kg./L. de excedencia hasta los 10.000 kg./L.</w:t>
            </w:r>
          </w:p>
        </w:tc>
        <w:tc>
          <w:tcPr>
            <w:tcW w:w="747"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0,02</w:t>
            </w:r>
          </w:p>
        </w:tc>
      </w:tr>
      <w:tr w:rsidR="00503CAA">
        <w:trPr>
          <w:trHeight w:val="1256"/>
        </w:trPr>
        <w:tc>
          <w:tcPr>
            <w:tcW w:w="2673"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lastRenderedPageBreak/>
              <w:t>La carga que supere los 10.000 kg./L. se le aplicará por cada kg./L. que exceda de 1.000 kg./L.</w:t>
            </w:r>
          </w:p>
        </w:tc>
        <w:tc>
          <w:tcPr>
            <w:tcW w:w="747"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0,01</w:t>
            </w:r>
          </w:p>
        </w:tc>
      </w:tr>
    </w:tbl>
    <w:p w:rsidR="00503CAA" w:rsidRDefault="00AC34AE">
      <w:pPr>
        <w:spacing w:line="360" w:lineRule="auto"/>
        <w:jc w:val="both"/>
        <w:rPr>
          <w:sz w:val="28"/>
          <w:szCs w:val="28"/>
        </w:rPr>
      </w:pPr>
      <w:r>
        <w:rPr>
          <w:sz w:val="28"/>
          <w:szCs w:val="28"/>
        </w:rPr>
        <w:br/>
      </w:r>
    </w:p>
    <w:p w:rsidR="00503CAA" w:rsidRDefault="00AC34AE">
      <w:pPr>
        <w:spacing w:line="360" w:lineRule="auto"/>
        <w:jc w:val="both"/>
        <w:rPr>
          <w:b/>
          <w:i/>
          <w:sz w:val="28"/>
          <w:szCs w:val="28"/>
          <w:u w:val="single"/>
        </w:rPr>
      </w:pPr>
      <w:r>
        <w:rPr>
          <w:sz w:val="28"/>
          <w:szCs w:val="28"/>
        </w:rPr>
        <w:t xml:space="preserve">c.1.7. </w:t>
      </w:r>
      <w:r>
        <w:rPr>
          <w:sz w:val="28"/>
          <w:szCs w:val="28"/>
          <w:u w:val="single"/>
        </w:rPr>
        <w:t>7ma Categoría:</w:t>
      </w:r>
    </w:p>
    <w:p w:rsidR="00503CAA" w:rsidRDefault="00AC34AE">
      <w:pPr>
        <w:spacing w:line="360" w:lineRule="auto"/>
        <w:jc w:val="both"/>
        <w:rPr>
          <w:sz w:val="28"/>
          <w:szCs w:val="28"/>
        </w:rPr>
      </w:pPr>
      <w:r>
        <w:rPr>
          <w:sz w:val="28"/>
          <w:szCs w:val="28"/>
        </w:rPr>
        <w:t>I- varios</w:t>
      </w:r>
    </w:p>
    <w:tbl>
      <w:tblPr>
        <w:tblStyle w:val="a5"/>
        <w:tblW w:w="3397" w:type="dxa"/>
        <w:tblInd w:w="0" w:type="dxa"/>
        <w:tblLayout w:type="fixed"/>
        <w:tblLook w:val="0400" w:firstRow="0" w:lastRow="0" w:firstColumn="0" w:lastColumn="0" w:noHBand="0" w:noVBand="1"/>
      </w:tblPr>
      <w:tblGrid>
        <w:gridCol w:w="2650"/>
        <w:gridCol w:w="747"/>
      </w:tblGrid>
      <w:tr w:rsidR="00503CAA">
        <w:trPr>
          <w:trHeight w:val="290"/>
        </w:trPr>
        <w:tc>
          <w:tcPr>
            <w:tcW w:w="2650" w:type="dxa"/>
            <w:tcBorders>
              <w:top w:val="single" w:sz="4" w:space="0" w:color="000000"/>
              <w:left w:val="single" w:sz="4" w:space="0" w:color="000000"/>
              <w:bottom w:val="single" w:sz="4" w:space="0" w:color="000000"/>
              <w:right w:val="single" w:sz="4" w:space="0" w:color="000000"/>
            </w:tcBorders>
            <w:shd w:val="clear" w:color="auto" w:fill="F8CBAD"/>
            <w:vAlign w:val="bottom"/>
          </w:tcPr>
          <w:p w:rsidR="00503CAA" w:rsidRDefault="00AC34AE">
            <w:pPr>
              <w:spacing w:line="240" w:lineRule="auto"/>
              <w:jc w:val="center"/>
              <w:rPr>
                <w:b/>
                <w:sz w:val="28"/>
                <w:szCs w:val="28"/>
              </w:rPr>
            </w:pPr>
            <w:r>
              <w:rPr>
                <w:b/>
                <w:sz w:val="28"/>
                <w:szCs w:val="28"/>
              </w:rPr>
              <w:t>Rango de Carga</w:t>
            </w:r>
          </w:p>
        </w:tc>
        <w:tc>
          <w:tcPr>
            <w:tcW w:w="747" w:type="dxa"/>
            <w:tcBorders>
              <w:top w:val="single" w:sz="4" w:space="0" w:color="000000"/>
              <w:left w:val="nil"/>
              <w:bottom w:val="single" w:sz="4" w:space="0" w:color="000000"/>
              <w:right w:val="single" w:sz="4" w:space="0" w:color="000000"/>
            </w:tcBorders>
            <w:shd w:val="clear" w:color="auto" w:fill="F8CBAD"/>
            <w:vAlign w:val="bottom"/>
          </w:tcPr>
          <w:p w:rsidR="00503CAA" w:rsidRDefault="00AC34AE">
            <w:pPr>
              <w:spacing w:line="240" w:lineRule="auto"/>
              <w:jc w:val="center"/>
              <w:rPr>
                <w:b/>
                <w:sz w:val="28"/>
                <w:szCs w:val="28"/>
              </w:rPr>
            </w:pPr>
            <w:r>
              <w:rPr>
                <w:b/>
                <w:sz w:val="28"/>
                <w:szCs w:val="28"/>
              </w:rPr>
              <w:t>UTM</w:t>
            </w:r>
          </w:p>
        </w:tc>
      </w:tr>
      <w:tr w:rsidR="00503CAA">
        <w:trPr>
          <w:trHeight w:val="538"/>
        </w:trPr>
        <w:tc>
          <w:tcPr>
            <w:tcW w:w="2650"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Fijo por carga hasta 1.000 kg./L.</w:t>
            </w:r>
          </w:p>
        </w:tc>
        <w:tc>
          <w:tcPr>
            <w:tcW w:w="747" w:type="dxa"/>
            <w:tcBorders>
              <w:top w:val="nil"/>
              <w:left w:val="nil"/>
              <w:bottom w:val="single" w:sz="4" w:space="0" w:color="000000"/>
              <w:right w:val="single" w:sz="4" w:space="0" w:color="000000"/>
            </w:tcBorders>
            <w:shd w:val="clear" w:color="auto" w:fill="auto"/>
            <w:vAlign w:val="bottom"/>
          </w:tcPr>
          <w:p w:rsidR="00503CAA" w:rsidRDefault="00AC34AE">
            <w:pPr>
              <w:spacing w:line="240" w:lineRule="auto"/>
              <w:jc w:val="center"/>
              <w:rPr>
                <w:sz w:val="28"/>
                <w:szCs w:val="28"/>
              </w:rPr>
            </w:pPr>
            <w:r>
              <w:rPr>
                <w:sz w:val="28"/>
                <w:szCs w:val="28"/>
              </w:rPr>
              <w:t>30</w:t>
            </w:r>
          </w:p>
        </w:tc>
      </w:tr>
      <w:tr w:rsidR="00503CAA">
        <w:trPr>
          <w:trHeight w:val="985"/>
        </w:trPr>
        <w:tc>
          <w:tcPr>
            <w:tcW w:w="2650"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Más de 1.000 kg. /L. x cada Kg./L. de excedencia hasta los 10.000 kg./L.</w:t>
            </w:r>
          </w:p>
        </w:tc>
        <w:tc>
          <w:tcPr>
            <w:tcW w:w="747" w:type="dxa"/>
            <w:tcBorders>
              <w:top w:val="nil"/>
              <w:left w:val="nil"/>
              <w:bottom w:val="single" w:sz="4" w:space="0" w:color="000000"/>
              <w:right w:val="single" w:sz="4" w:space="0" w:color="000000"/>
            </w:tcBorders>
            <w:shd w:val="clear" w:color="auto" w:fill="FFFFFF"/>
            <w:vAlign w:val="bottom"/>
          </w:tcPr>
          <w:p w:rsidR="00503CAA" w:rsidRDefault="00AC34AE">
            <w:pPr>
              <w:spacing w:line="240" w:lineRule="auto"/>
              <w:jc w:val="center"/>
              <w:rPr>
                <w:sz w:val="28"/>
                <w:szCs w:val="28"/>
              </w:rPr>
            </w:pPr>
            <w:r>
              <w:rPr>
                <w:sz w:val="28"/>
                <w:szCs w:val="28"/>
              </w:rPr>
              <w:t>0,05</w:t>
            </w:r>
          </w:p>
        </w:tc>
      </w:tr>
      <w:tr w:rsidR="00503CAA">
        <w:trPr>
          <w:trHeight w:val="1229"/>
        </w:trPr>
        <w:tc>
          <w:tcPr>
            <w:tcW w:w="2650" w:type="dxa"/>
            <w:tcBorders>
              <w:top w:val="nil"/>
              <w:left w:val="single" w:sz="4" w:space="0" w:color="000000"/>
              <w:bottom w:val="single" w:sz="4" w:space="0" w:color="000000"/>
              <w:right w:val="single" w:sz="4" w:space="0" w:color="000000"/>
            </w:tcBorders>
            <w:shd w:val="clear" w:color="auto" w:fill="auto"/>
            <w:vAlign w:val="bottom"/>
          </w:tcPr>
          <w:p w:rsidR="00503CAA" w:rsidRDefault="00AC34AE">
            <w:pPr>
              <w:spacing w:line="240" w:lineRule="auto"/>
              <w:rPr>
                <w:sz w:val="28"/>
                <w:szCs w:val="28"/>
              </w:rPr>
            </w:pPr>
            <w:r>
              <w:rPr>
                <w:sz w:val="28"/>
                <w:szCs w:val="28"/>
              </w:rPr>
              <w:t>La carga que supere los 10.000 kg./L. se le aplicará por cada kg./L. que exceda de 1.000 kg./L.</w:t>
            </w:r>
          </w:p>
        </w:tc>
        <w:tc>
          <w:tcPr>
            <w:tcW w:w="747" w:type="dxa"/>
            <w:tcBorders>
              <w:top w:val="nil"/>
              <w:left w:val="nil"/>
              <w:bottom w:val="single" w:sz="4" w:space="0" w:color="000000"/>
              <w:right w:val="single" w:sz="4" w:space="0" w:color="000000"/>
            </w:tcBorders>
            <w:shd w:val="clear" w:color="auto" w:fill="FFFFFF"/>
            <w:vAlign w:val="bottom"/>
          </w:tcPr>
          <w:p w:rsidR="00503CAA" w:rsidRDefault="00AC34AE">
            <w:pPr>
              <w:spacing w:line="240" w:lineRule="auto"/>
              <w:jc w:val="center"/>
              <w:rPr>
                <w:sz w:val="28"/>
                <w:szCs w:val="28"/>
              </w:rPr>
            </w:pPr>
            <w:r>
              <w:rPr>
                <w:sz w:val="28"/>
                <w:szCs w:val="28"/>
              </w:rPr>
              <w:t>0,04</w:t>
            </w:r>
          </w:p>
        </w:tc>
      </w:tr>
    </w:tbl>
    <w:p w:rsidR="00503CAA" w:rsidRDefault="00503CAA">
      <w:pPr>
        <w:spacing w:line="360" w:lineRule="auto"/>
        <w:jc w:val="both"/>
        <w:rPr>
          <w:sz w:val="28"/>
          <w:szCs w:val="28"/>
        </w:rPr>
      </w:pPr>
    </w:p>
    <w:p w:rsidR="00503CAA" w:rsidRDefault="00AC34AE">
      <w:pPr>
        <w:spacing w:line="360" w:lineRule="auto"/>
        <w:jc w:val="both"/>
        <w:rPr>
          <w:sz w:val="28"/>
          <w:szCs w:val="28"/>
        </w:rPr>
      </w:pPr>
      <w:r>
        <w:rPr>
          <w:sz w:val="28"/>
          <w:szCs w:val="28"/>
        </w:rPr>
        <w:t>c.1.8. Criterios complementarios</w:t>
      </w:r>
    </w:p>
    <w:p w:rsidR="00503CAA" w:rsidRDefault="00AC34AE">
      <w:pPr>
        <w:spacing w:line="360" w:lineRule="auto"/>
        <w:jc w:val="both"/>
        <w:rPr>
          <w:sz w:val="28"/>
          <w:szCs w:val="28"/>
        </w:rPr>
      </w:pPr>
      <w:r>
        <w:rPr>
          <w:sz w:val="28"/>
          <w:szCs w:val="28"/>
        </w:rPr>
        <w:t xml:space="preserve">En las categorías de productos detalladas precedentemente será indistinta la unidad de medida Kg/L., debiendo tomar como referencia siempre la unidad de medida que se encontrare en la documentación correspondiente, a los fines de la liquidación de la tasa </w:t>
      </w:r>
      <w:r>
        <w:rPr>
          <w:sz w:val="28"/>
          <w:szCs w:val="28"/>
        </w:rPr>
        <w:t>de verificación respectiva.</w:t>
      </w:r>
    </w:p>
    <w:p w:rsidR="00503CAA" w:rsidRDefault="00AC34AE">
      <w:pPr>
        <w:spacing w:line="360" w:lineRule="auto"/>
        <w:jc w:val="both"/>
        <w:rPr>
          <w:b/>
          <w:sz w:val="28"/>
          <w:szCs w:val="28"/>
        </w:rPr>
      </w:pPr>
      <w:r>
        <w:rPr>
          <w:sz w:val="28"/>
          <w:szCs w:val="28"/>
        </w:rPr>
        <w:t xml:space="preserve">Al Introductor que se le realicen 12 (doce) o más verificaciones – </w:t>
      </w:r>
      <w:r>
        <w:rPr>
          <w:i/>
          <w:sz w:val="28"/>
          <w:szCs w:val="28"/>
        </w:rPr>
        <w:t xml:space="preserve">dentro del mes calendario – </w:t>
      </w:r>
      <w:r>
        <w:rPr>
          <w:sz w:val="28"/>
          <w:szCs w:val="28"/>
        </w:rPr>
        <w:t xml:space="preserve"> se le aplicará una bonificación del 30 % (treinta por ciento) sobre el total de la tasa devengada en el mes respectivo, generándose </w:t>
      </w:r>
      <w:r>
        <w:rPr>
          <w:sz w:val="28"/>
          <w:szCs w:val="28"/>
        </w:rPr>
        <w:t xml:space="preserve">de este modo un crédito a su favor por el importe que resulte, el cual deberá ser utilizado dentro de los 180 días subsiguientes </w:t>
      </w:r>
      <w:r>
        <w:rPr>
          <w:sz w:val="28"/>
          <w:szCs w:val="28"/>
        </w:rPr>
        <w:lastRenderedPageBreak/>
        <w:t>contados a partir de la finalización del mes sujeto a bonificación (</w:t>
      </w:r>
      <w:r>
        <w:rPr>
          <w:i/>
          <w:sz w:val="28"/>
          <w:szCs w:val="28"/>
          <w:u w:val="single"/>
        </w:rPr>
        <w:t>el crédito solo podrá utilizarse bajo la modalidad de compe</w:t>
      </w:r>
      <w:r>
        <w:rPr>
          <w:i/>
          <w:sz w:val="28"/>
          <w:szCs w:val="28"/>
          <w:u w:val="single"/>
        </w:rPr>
        <w:t>nsación y/o pago a cuenta, y exclusivamente en relación a la presente actividad</w:t>
      </w:r>
      <w:r>
        <w:rPr>
          <w:sz w:val="28"/>
          <w:szCs w:val="28"/>
        </w:rPr>
        <w:t xml:space="preserve">). </w:t>
      </w:r>
    </w:p>
    <w:p w:rsidR="00503CAA" w:rsidRDefault="00AC34AE">
      <w:pPr>
        <w:spacing w:line="360" w:lineRule="auto"/>
        <w:jc w:val="both"/>
        <w:rPr>
          <w:sz w:val="28"/>
          <w:szCs w:val="28"/>
        </w:rPr>
      </w:pPr>
      <w:r>
        <w:rPr>
          <w:sz w:val="28"/>
          <w:szCs w:val="28"/>
        </w:rPr>
        <w:t>El importe fijo de verificación establecido para las diferentes categorías (30 UTM), se efectivizará con una bonificación del 50% desde la sanción de la presente ordenanza h</w:t>
      </w:r>
      <w:r>
        <w:rPr>
          <w:sz w:val="28"/>
          <w:szCs w:val="28"/>
        </w:rPr>
        <w:t>asta el 31/12/2023, todo ello en virtud a la actual crisis económica y sanitaria.</w:t>
      </w:r>
    </w:p>
    <w:p w:rsidR="00503CAA" w:rsidRDefault="00AC34AE">
      <w:pPr>
        <w:spacing w:line="360" w:lineRule="auto"/>
        <w:jc w:val="both"/>
        <w:rPr>
          <w:sz w:val="28"/>
          <w:szCs w:val="28"/>
        </w:rPr>
      </w:pPr>
      <w:r>
        <w:rPr>
          <w:sz w:val="28"/>
          <w:szCs w:val="28"/>
        </w:rPr>
        <w:t>Los introductores abonarán como tope máximo “</w:t>
      </w:r>
      <w:r>
        <w:rPr>
          <w:b/>
          <w:i/>
          <w:sz w:val="28"/>
          <w:szCs w:val="28"/>
        </w:rPr>
        <w:t>por verificación</w:t>
      </w:r>
      <w:r>
        <w:rPr>
          <w:sz w:val="28"/>
          <w:szCs w:val="28"/>
        </w:rPr>
        <w:t>” el importe equivalente a 750 UTM y como “tope máximo mensual” (</w:t>
      </w:r>
      <w:r>
        <w:rPr>
          <w:i/>
          <w:sz w:val="28"/>
          <w:szCs w:val="28"/>
        </w:rPr>
        <w:t>acumulativo dentro del mes calendario</w:t>
      </w:r>
      <w:r>
        <w:rPr>
          <w:sz w:val="28"/>
          <w:szCs w:val="28"/>
        </w:rPr>
        <w:t>) el import</w:t>
      </w:r>
      <w:r>
        <w:rPr>
          <w:sz w:val="28"/>
          <w:szCs w:val="28"/>
        </w:rPr>
        <w:t>e equivalente a 3000 UTM. El tope máximo mensual previsto precedentemente no podrá acumularse con el descuento previsto para los introductores que realicen 12 o más verificaciones dentro del mes calendario.</w:t>
      </w:r>
    </w:p>
    <w:p w:rsidR="00503CAA" w:rsidRDefault="00AC34AE">
      <w:pPr>
        <w:spacing w:line="360" w:lineRule="auto"/>
        <w:jc w:val="both"/>
        <w:rPr>
          <w:sz w:val="28"/>
          <w:szCs w:val="28"/>
        </w:rPr>
      </w:pPr>
      <w:r>
        <w:rPr>
          <w:sz w:val="28"/>
          <w:szCs w:val="28"/>
        </w:rPr>
        <w:t>Ante la imposibilidad material de calcular la tas</w:t>
      </w:r>
      <w:r>
        <w:rPr>
          <w:sz w:val="28"/>
          <w:szCs w:val="28"/>
        </w:rPr>
        <w:t>a de verificación al momento de ejecutada la misma, ya sea debido a que la documentación de la carga transportada no especifique con claridad la cantidad exacta de Kg. / L. de las distintas especies de productos alimenticios transportados y/o lo hiciera, p</w:t>
      </w:r>
      <w:r>
        <w:rPr>
          <w:sz w:val="28"/>
          <w:szCs w:val="28"/>
        </w:rPr>
        <w:t>ero se encontraren en un mismo documento productos de otra índole integrados aleatoriamente, los introductores abonarán “</w:t>
      </w:r>
      <w:r>
        <w:rPr>
          <w:i/>
          <w:sz w:val="28"/>
          <w:szCs w:val="28"/>
          <w:u w:val="single"/>
        </w:rPr>
        <w:t>un importe fijo</w:t>
      </w:r>
      <w:r>
        <w:rPr>
          <w:sz w:val="28"/>
          <w:szCs w:val="28"/>
        </w:rPr>
        <w:t>”, el cual será establecido por la autoridad de aplicación, y deberá guardar relación proporcional al volumen estimado (</w:t>
      </w:r>
      <w:r>
        <w:rPr>
          <w:sz w:val="28"/>
          <w:szCs w:val="28"/>
        </w:rPr>
        <w:t xml:space="preserve">Kg. / L.) y a la especie de productos predominante de la carga, no pudiendo ser en ningún caso el importe a abonar menor al canon fijo previsto para cada categoría. Sin perjuicio de ello, se notificará a la empresa o al individuo responsable de la carga a </w:t>
      </w:r>
      <w:r>
        <w:rPr>
          <w:sz w:val="28"/>
          <w:szCs w:val="28"/>
        </w:rPr>
        <w:t>los efectos de lograr una correcta segmentación de categorías y/o detalle preciso de la mercadería transportada en la documentación respectiva, todo ello en aras de agilizar y optimizar la gestión administrativa que implica la verificación.</w:t>
      </w:r>
    </w:p>
    <w:p w:rsidR="00503CAA" w:rsidRDefault="00AC34AE">
      <w:pPr>
        <w:spacing w:line="360" w:lineRule="auto"/>
        <w:jc w:val="both"/>
        <w:rPr>
          <w:sz w:val="28"/>
          <w:szCs w:val="28"/>
        </w:rPr>
      </w:pPr>
      <w:r>
        <w:rPr>
          <w:sz w:val="28"/>
          <w:szCs w:val="28"/>
        </w:rPr>
        <w:lastRenderedPageBreak/>
        <w:t xml:space="preserve">El introductor </w:t>
      </w:r>
      <w:r>
        <w:rPr>
          <w:sz w:val="28"/>
          <w:szCs w:val="28"/>
        </w:rPr>
        <w:t xml:space="preserve">que estuviese comprendido en lo dispuesto por el artículo 3° incs. </w:t>
      </w:r>
      <w:r>
        <w:rPr>
          <w:b/>
          <w:sz w:val="28"/>
          <w:szCs w:val="28"/>
        </w:rPr>
        <w:t xml:space="preserve">(a.1, a.2, a.3) </w:t>
      </w:r>
      <w:r>
        <w:rPr>
          <w:sz w:val="28"/>
          <w:szCs w:val="28"/>
        </w:rPr>
        <w:t>del presente anexo, quedará exento del pago de la tasa de inspección agroalimentaria cuando hubiere abonado el tope máximo mensual acumulativo de verificaciones. Dicha exenc</w:t>
      </w:r>
      <w:r>
        <w:rPr>
          <w:sz w:val="28"/>
          <w:szCs w:val="28"/>
        </w:rPr>
        <w:t xml:space="preserve">ión será aplicable únicamente para los trimestres en los cuales el contribuyente acreditase haber abonado por lo menos un mes dentro del respectivo trimestre dicho tope máximo.  </w:t>
      </w:r>
    </w:p>
    <w:p w:rsidR="00503CAA" w:rsidRDefault="00AC34AE">
      <w:pPr>
        <w:spacing w:line="360" w:lineRule="auto"/>
        <w:jc w:val="both"/>
        <w:rPr>
          <w:sz w:val="28"/>
          <w:szCs w:val="28"/>
        </w:rPr>
      </w:pPr>
      <w:r>
        <w:rPr>
          <w:sz w:val="28"/>
          <w:szCs w:val="28"/>
        </w:rPr>
        <w:t>Los transportes que soliciten la guardia bromatológica para la introducción d</w:t>
      </w:r>
      <w:r>
        <w:rPr>
          <w:sz w:val="28"/>
          <w:szCs w:val="28"/>
        </w:rPr>
        <w:t>e alimentos dentro de la jurisdicción fuera del horario establecido para la Cabina Sanitaria, abonarán una tasa adicional del 35% (treinta y cinco por ciento) del valor establecido para la/s categoría/s respectiva/s.</w:t>
      </w:r>
    </w:p>
    <w:p w:rsidR="00503CAA" w:rsidRDefault="00503CAA">
      <w:pPr>
        <w:spacing w:line="360" w:lineRule="auto"/>
        <w:jc w:val="both"/>
        <w:rPr>
          <w:b/>
          <w:sz w:val="28"/>
          <w:szCs w:val="28"/>
        </w:rPr>
      </w:pPr>
    </w:p>
    <w:p w:rsidR="00503CAA" w:rsidRDefault="00AC34AE">
      <w:pPr>
        <w:spacing w:line="360" w:lineRule="auto"/>
        <w:jc w:val="both"/>
        <w:rPr>
          <w:sz w:val="28"/>
          <w:szCs w:val="28"/>
          <w:u w:val="single"/>
        </w:rPr>
      </w:pPr>
      <w:r>
        <w:rPr>
          <w:b/>
          <w:sz w:val="28"/>
          <w:szCs w:val="28"/>
          <w:u w:val="single"/>
        </w:rPr>
        <w:t>D)</w:t>
      </w:r>
      <w:r>
        <w:rPr>
          <w:sz w:val="28"/>
          <w:szCs w:val="28"/>
          <w:u w:val="single"/>
        </w:rPr>
        <w:t xml:space="preserve"> Servicios especiales:</w:t>
      </w:r>
    </w:p>
    <w:p w:rsidR="00503CAA" w:rsidRDefault="00AC34AE">
      <w:pPr>
        <w:spacing w:line="360" w:lineRule="auto"/>
        <w:jc w:val="both"/>
        <w:rPr>
          <w:sz w:val="28"/>
          <w:szCs w:val="28"/>
        </w:rPr>
      </w:pPr>
      <w:r>
        <w:rPr>
          <w:sz w:val="28"/>
          <w:szCs w:val="28"/>
        </w:rPr>
        <w:t>Por el servicio de traslado de mercadería decomisada, ya sea en el marco de una infracción o a pedido de parte (decomiso voluntario), los infractores/solicitantes abonarán dentro de los treinta días de prestado el servicio en base a los siguientes rangos:</w:t>
      </w:r>
    </w:p>
    <w:p w:rsidR="00503CAA" w:rsidRDefault="00503CAA">
      <w:pPr>
        <w:spacing w:line="360" w:lineRule="auto"/>
        <w:jc w:val="both"/>
        <w:rPr>
          <w:sz w:val="28"/>
          <w:szCs w:val="28"/>
        </w:rPr>
      </w:pPr>
    </w:p>
    <w:p w:rsidR="00503CAA" w:rsidRDefault="00AC34AE">
      <w:pPr>
        <w:spacing w:line="360" w:lineRule="auto"/>
        <w:jc w:val="both"/>
        <w:rPr>
          <w:sz w:val="28"/>
          <w:szCs w:val="28"/>
        </w:rPr>
      </w:pPr>
      <w:r>
        <w:rPr>
          <w:b/>
          <w:sz w:val="28"/>
          <w:szCs w:val="28"/>
        </w:rPr>
        <w:t>d.1-</w:t>
      </w:r>
      <w:r>
        <w:rPr>
          <w:sz w:val="28"/>
          <w:szCs w:val="28"/>
        </w:rPr>
        <w:t xml:space="preserve"> hasta 50 kg/L. inclusive de mercadería decomisada:</w:t>
      </w:r>
    </w:p>
    <w:p w:rsidR="00503CAA" w:rsidRDefault="00AC34AE">
      <w:pPr>
        <w:spacing w:line="360" w:lineRule="auto"/>
        <w:jc w:val="both"/>
        <w:rPr>
          <w:sz w:val="28"/>
          <w:szCs w:val="28"/>
        </w:rPr>
      </w:pPr>
      <w:r>
        <w:rPr>
          <w:sz w:val="28"/>
          <w:szCs w:val="28"/>
        </w:rPr>
        <w:t xml:space="preserve"> fijo 50 UTM, más 2 UTM por cada Kg./L. decomisado en el caso de tratarse de una infracción;</w:t>
      </w:r>
    </w:p>
    <w:p w:rsidR="00503CAA" w:rsidRDefault="00AC34AE">
      <w:pPr>
        <w:spacing w:line="360" w:lineRule="auto"/>
        <w:jc w:val="both"/>
        <w:rPr>
          <w:sz w:val="28"/>
          <w:szCs w:val="28"/>
        </w:rPr>
      </w:pPr>
      <w:r>
        <w:rPr>
          <w:b/>
          <w:sz w:val="28"/>
          <w:szCs w:val="28"/>
        </w:rPr>
        <w:t>d.2-</w:t>
      </w:r>
      <w:r>
        <w:rPr>
          <w:sz w:val="28"/>
          <w:szCs w:val="28"/>
        </w:rPr>
        <w:t xml:space="preserve"> más de 50 kg./L. y hasta 100 kg./L. inclusive de mercadería decomisada:</w:t>
      </w:r>
    </w:p>
    <w:p w:rsidR="00503CAA" w:rsidRDefault="00AC34AE">
      <w:pPr>
        <w:spacing w:line="360" w:lineRule="auto"/>
        <w:jc w:val="both"/>
        <w:rPr>
          <w:sz w:val="28"/>
          <w:szCs w:val="28"/>
        </w:rPr>
      </w:pPr>
      <w:r>
        <w:rPr>
          <w:sz w:val="28"/>
          <w:szCs w:val="28"/>
        </w:rPr>
        <w:t xml:space="preserve"> fijo 200 UTM, más 2,5 UTM po</w:t>
      </w:r>
      <w:r>
        <w:rPr>
          <w:sz w:val="28"/>
          <w:szCs w:val="28"/>
        </w:rPr>
        <w:t>r cada Kg./L. decomisado en el caso de tratarse de una infracción;</w:t>
      </w:r>
    </w:p>
    <w:p w:rsidR="00503CAA" w:rsidRDefault="00AC34AE">
      <w:pPr>
        <w:spacing w:line="360" w:lineRule="auto"/>
        <w:jc w:val="both"/>
        <w:rPr>
          <w:sz w:val="28"/>
          <w:szCs w:val="28"/>
        </w:rPr>
      </w:pPr>
      <w:r>
        <w:rPr>
          <w:b/>
          <w:sz w:val="28"/>
          <w:szCs w:val="28"/>
        </w:rPr>
        <w:t>d.3-</w:t>
      </w:r>
      <w:r>
        <w:rPr>
          <w:sz w:val="28"/>
          <w:szCs w:val="28"/>
        </w:rPr>
        <w:t xml:space="preserve"> más de 100 kg./L. y hasta 300 Kg./L. inclusive de mercadería decomisada:</w:t>
      </w:r>
    </w:p>
    <w:p w:rsidR="00503CAA" w:rsidRDefault="00AC34AE">
      <w:pPr>
        <w:spacing w:line="360" w:lineRule="auto"/>
        <w:jc w:val="both"/>
        <w:rPr>
          <w:sz w:val="28"/>
          <w:szCs w:val="28"/>
        </w:rPr>
      </w:pPr>
      <w:r>
        <w:rPr>
          <w:sz w:val="28"/>
          <w:szCs w:val="28"/>
        </w:rPr>
        <w:lastRenderedPageBreak/>
        <w:t xml:space="preserve"> fijo 300 UTM, más 3 UTM por cada Kg./L. decomisado en el caso de tratarse de una infracción;</w:t>
      </w:r>
    </w:p>
    <w:p w:rsidR="00503CAA" w:rsidRDefault="00AC34AE">
      <w:pPr>
        <w:spacing w:line="360" w:lineRule="auto"/>
        <w:rPr>
          <w:sz w:val="28"/>
          <w:szCs w:val="28"/>
        </w:rPr>
      </w:pPr>
      <w:r>
        <w:rPr>
          <w:b/>
          <w:sz w:val="28"/>
          <w:szCs w:val="28"/>
        </w:rPr>
        <w:t>d.4-</w:t>
      </w:r>
      <w:r>
        <w:rPr>
          <w:sz w:val="28"/>
          <w:szCs w:val="28"/>
        </w:rPr>
        <w:t xml:space="preserve"> más de 300 K</w:t>
      </w:r>
      <w:r>
        <w:rPr>
          <w:sz w:val="28"/>
          <w:szCs w:val="28"/>
        </w:rPr>
        <w:t>g./L. de mercadería decomisada</w:t>
      </w:r>
    </w:p>
    <w:p w:rsidR="00503CAA" w:rsidRDefault="00AC34AE">
      <w:pPr>
        <w:spacing w:line="360" w:lineRule="auto"/>
        <w:jc w:val="both"/>
        <w:rPr>
          <w:sz w:val="28"/>
          <w:szCs w:val="28"/>
        </w:rPr>
      </w:pPr>
      <w:r>
        <w:rPr>
          <w:sz w:val="28"/>
          <w:szCs w:val="28"/>
        </w:rPr>
        <w:t>fijo 500 UTM, más 1,75 UTM por cada Kg./L. decomisado en el caso de tratarse de una infracción y 0,25 UTM por cada Kg./L. en caso de decomiso voluntario.</w:t>
      </w:r>
    </w:p>
    <w:p w:rsidR="00503CAA" w:rsidRDefault="00503CAA">
      <w:pPr>
        <w:spacing w:line="360" w:lineRule="auto"/>
        <w:jc w:val="both"/>
        <w:rPr>
          <w:sz w:val="28"/>
          <w:szCs w:val="28"/>
        </w:rPr>
      </w:pPr>
    </w:p>
    <w:p w:rsidR="00503CAA" w:rsidRDefault="00AC34AE">
      <w:pPr>
        <w:spacing w:line="360" w:lineRule="auto"/>
        <w:ind w:left="993"/>
        <w:jc w:val="both"/>
        <w:rPr>
          <w:sz w:val="28"/>
          <w:szCs w:val="28"/>
        </w:rPr>
      </w:pPr>
      <w:r>
        <w:rPr>
          <w:b/>
          <w:i/>
          <w:sz w:val="28"/>
          <w:szCs w:val="28"/>
        </w:rPr>
        <w:t>Art. 4º.-</w:t>
      </w:r>
      <w:r>
        <w:rPr>
          <w:sz w:val="28"/>
          <w:szCs w:val="28"/>
        </w:rPr>
        <w:t>Facúltase al Departamento Ejecutivo Municipal a eximir del pa</w:t>
      </w:r>
      <w:r>
        <w:rPr>
          <w:sz w:val="28"/>
          <w:szCs w:val="28"/>
        </w:rPr>
        <w:t>go de la Tasa establecida en cualquiera de sus modalidades en la presente ordenanza, a aquellas entidades o instituciones de bien público que desarrollen alguna de las actividades referidas en la presente, así como a personas que atendiendo a circunstancia</w:t>
      </w:r>
      <w:r>
        <w:rPr>
          <w:sz w:val="28"/>
          <w:szCs w:val="28"/>
        </w:rPr>
        <w:t>s especiales debidamente acreditadas, se encuentren en condiciones de vulnerabilidad o de carácter especial.</w:t>
      </w:r>
    </w:p>
    <w:p w:rsidR="00503CAA" w:rsidRDefault="00AC34AE">
      <w:pPr>
        <w:spacing w:line="360" w:lineRule="auto"/>
        <w:ind w:left="993"/>
        <w:jc w:val="both"/>
        <w:rPr>
          <w:sz w:val="28"/>
          <w:szCs w:val="28"/>
        </w:rPr>
      </w:pPr>
      <w:r>
        <w:rPr>
          <w:sz w:val="28"/>
          <w:szCs w:val="28"/>
        </w:rPr>
        <w:t>El beneficio podrá ser otorgado en forma total o parcial, en función de las circunstancias y en la justa medida o porcentaje que a criterio y evalu</w:t>
      </w:r>
      <w:r>
        <w:rPr>
          <w:sz w:val="28"/>
          <w:szCs w:val="28"/>
        </w:rPr>
        <w:t>ación del Departamento Ejecutivo Municipal corresponda aplicar, previa solicitud y acreditación por parte de los interesados de la correspondiente documentación, o en su caso informe socio-económico/ambiental o certificados pertinentes.</w:t>
      </w:r>
    </w:p>
    <w:p w:rsidR="00503CAA" w:rsidRDefault="00503CAA">
      <w:pPr>
        <w:spacing w:line="240" w:lineRule="auto"/>
        <w:ind w:firstLine="284"/>
        <w:jc w:val="both"/>
        <w:rPr>
          <w:sz w:val="28"/>
          <w:szCs w:val="28"/>
        </w:rPr>
      </w:pPr>
    </w:p>
    <w:p w:rsidR="00503CAA" w:rsidRDefault="00AC34AE">
      <w:pPr>
        <w:spacing w:line="360" w:lineRule="auto"/>
        <w:ind w:left="993"/>
        <w:jc w:val="both"/>
        <w:rPr>
          <w:sz w:val="28"/>
          <w:szCs w:val="28"/>
        </w:rPr>
      </w:pPr>
      <w:r>
        <w:rPr>
          <w:b/>
          <w:i/>
          <w:sz w:val="28"/>
          <w:szCs w:val="28"/>
        </w:rPr>
        <w:t>Art. 5º.-</w:t>
      </w:r>
      <w:r>
        <w:rPr>
          <w:sz w:val="28"/>
          <w:szCs w:val="28"/>
        </w:rPr>
        <w:t xml:space="preserve">El incumplimiento de las obligaciones establecidas en la presente implicará la aplicación de los intereses correspondientes, y hará pasible a los infractores de la aplicación de las sanciones establecidas en los Capítulos IV y V de la Ordenanza Nº 3943/11 </w:t>
      </w:r>
      <w:r>
        <w:rPr>
          <w:sz w:val="28"/>
          <w:szCs w:val="28"/>
        </w:rPr>
        <w:t xml:space="preserve">en las situaciones que resulten </w:t>
      </w:r>
      <w:r>
        <w:rPr>
          <w:sz w:val="28"/>
          <w:szCs w:val="28"/>
        </w:rPr>
        <w:lastRenderedPageBreak/>
        <w:t>pertinentes, o de aquellas que determine el Tribunal Municipal de Faltas en los casos en los que pudieran corresponder.</w:t>
      </w:r>
    </w:p>
    <w:p w:rsidR="00503CAA" w:rsidRDefault="00503CAA">
      <w:pPr>
        <w:spacing w:line="360" w:lineRule="auto"/>
        <w:ind w:left="993"/>
        <w:jc w:val="both"/>
        <w:rPr>
          <w:sz w:val="28"/>
          <w:szCs w:val="28"/>
        </w:rPr>
      </w:pPr>
    </w:p>
    <w:p w:rsidR="00503CAA" w:rsidRDefault="00AC34AE">
      <w:pPr>
        <w:spacing w:line="360" w:lineRule="auto"/>
        <w:ind w:left="993"/>
        <w:jc w:val="both"/>
        <w:rPr>
          <w:sz w:val="28"/>
          <w:szCs w:val="28"/>
        </w:rPr>
      </w:pPr>
      <w:r>
        <w:rPr>
          <w:b/>
          <w:i/>
          <w:sz w:val="28"/>
          <w:szCs w:val="28"/>
        </w:rPr>
        <w:t>Art. 6º.-</w:t>
      </w:r>
      <w:r>
        <w:rPr>
          <w:sz w:val="28"/>
          <w:szCs w:val="28"/>
        </w:rPr>
        <w:t>Todos aquellos aspectos referidos a materia administrativa, así como a situaciones particulare</w:t>
      </w:r>
      <w:r>
        <w:rPr>
          <w:sz w:val="28"/>
          <w:szCs w:val="28"/>
        </w:rPr>
        <w:t xml:space="preserve">s tendientes a asegurar eficientemente el cumplimiento de lo establecido en la presente serán dispuestos por el Departamento Ejecutivo Municipal a través de las disposiciones complementarias correspondientes.  </w:t>
      </w:r>
    </w:p>
    <w:p w:rsidR="00503CAA" w:rsidRDefault="00503CAA"/>
    <w:sectPr w:rsidR="00503CA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807D2"/>
    <w:multiLevelType w:val="multilevel"/>
    <w:tmpl w:val="8B3615D6"/>
    <w:lvl w:ilvl="0">
      <w:start w:val="1"/>
      <w:numFmt w:val="lowerLetter"/>
      <w:lvlText w:val="%1)"/>
      <w:lvlJc w:val="left"/>
      <w:pPr>
        <w:ind w:left="3479" w:hanging="360"/>
      </w:p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1" w15:restartNumberingAfterBreak="0">
    <w:nsid w:val="7E83306D"/>
    <w:multiLevelType w:val="multilevel"/>
    <w:tmpl w:val="1262A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AA"/>
    <w:rsid w:val="00503CAA"/>
    <w:rsid w:val="00AC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CA44F-22F7-4E80-9885-990074EA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2420</Words>
  <Characters>13800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2022-10-05T13:14:00Z</dcterms:created>
  <dcterms:modified xsi:type="dcterms:W3CDTF">2022-10-05T13:14:00Z</dcterms:modified>
</cp:coreProperties>
</file>